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9C9F" w14:textId="77777777" w:rsidR="005A44C1" w:rsidRPr="007E4437" w:rsidRDefault="005A44C1" w:rsidP="005A44C1">
      <w:pPr>
        <w:rPr>
          <w:b/>
          <w:bCs/>
          <w:sz w:val="28"/>
          <w:szCs w:val="28"/>
        </w:rPr>
      </w:pPr>
      <w:r w:rsidRPr="007E4437">
        <w:rPr>
          <w:rFonts w:cs="Arial"/>
          <w:b/>
          <w:bCs/>
          <w:color w:val="000000"/>
          <w:sz w:val="23"/>
          <w:szCs w:val="23"/>
        </w:rPr>
        <w:t>Australian Securities &amp; Investments Commission</w:t>
      </w:r>
    </w:p>
    <w:p w14:paraId="1C80362A" w14:textId="2AD93744" w:rsidR="005A44C1" w:rsidRPr="007E4437" w:rsidRDefault="005A44C1" w:rsidP="005A44C1">
      <w:pPr>
        <w:pStyle w:val="Heading1"/>
        <w:jc w:val="left"/>
        <w:rPr>
          <w:rFonts w:ascii="Century Gothic" w:hAnsi="Century Gothic"/>
          <w:sz w:val="32"/>
        </w:rPr>
      </w:pPr>
      <w:bookmarkStart w:id="0" w:name="_Hlk60225594"/>
      <w:r w:rsidRPr="007E4437">
        <w:rPr>
          <w:rFonts w:ascii="Century Gothic" w:hAnsi="Century Gothic"/>
          <w:sz w:val="32"/>
        </w:rPr>
        <w:t xml:space="preserve">Restructuring </w:t>
      </w:r>
      <w:r w:rsidR="00673058">
        <w:rPr>
          <w:rFonts w:ascii="Century Gothic" w:hAnsi="Century Gothic"/>
          <w:sz w:val="32"/>
        </w:rPr>
        <w:t>p</w:t>
      </w:r>
      <w:r w:rsidRPr="007E4437">
        <w:rPr>
          <w:rFonts w:ascii="Century Gothic" w:hAnsi="Century Gothic"/>
          <w:sz w:val="32"/>
        </w:rPr>
        <w:t xml:space="preserve">roposal </w:t>
      </w:r>
      <w:r w:rsidR="00673058">
        <w:rPr>
          <w:rFonts w:ascii="Century Gothic" w:hAnsi="Century Gothic"/>
          <w:sz w:val="32"/>
        </w:rPr>
        <w:t>s</w:t>
      </w:r>
      <w:r w:rsidRPr="007E4437">
        <w:rPr>
          <w:rFonts w:ascii="Century Gothic" w:hAnsi="Century Gothic"/>
          <w:sz w:val="32"/>
        </w:rPr>
        <w:t>tatement</w:t>
      </w:r>
    </w:p>
    <w:bookmarkEnd w:id="0"/>
    <w:p w14:paraId="148DF282" w14:textId="3D0C66EC" w:rsidR="005A44C1" w:rsidRPr="007E4437" w:rsidRDefault="001B22BF" w:rsidP="00034F73">
      <w:pPr>
        <w:pStyle w:val="Header"/>
        <w:spacing w:after="240" w:line="259" w:lineRule="auto"/>
        <w:jc w:val="right"/>
        <w:rPr>
          <w:szCs w:val="18"/>
        </w:rPr>
      </w:pPr>
      <w:r w:rsidRPr="007E4437">
        <w:rPr>
          <w:i/>
          <w:iCs/>
          <w:szCs w:val="18"/>
        </w:rPr>
        <w:t>Corporations Act 2001</w:t>
      </w:r>
      <w:r w:rsidR="00E65182">
        <w:rPr>
          <w:szCs w:val="18"/>
        </w:rPr>
        <w:t>, s</w:t>
      </w:r>
      <w:r w:rsidR="005A44C1" w:rsidRPr="007E4437">
        <w:rPr>
          <w:szCs w:val="18"/>
        </w:rPr>
        <w:t>455B</w:t>
      </w:r>
      <w:r w:rsidRPr="007E4437">
        <w:rPr>
          <w:szCs w:val="18"/>
        </w:rPr>
        <w:br/>
      </w:r>
      <w:r w:rsidRPr="007E4437">
        <w:rPr>
          <w:i/>
          <w:iCs/>
          <w:szCs w:val="18"/>
        </w:rPr>
        <w:t>Corporations Regulations 2001</w:t>
      </w:r>
      <w:r w:rsidR="00E65182">
        <w:rPr>
          <w:i/>
          <w:iCs/>
          <w:szCs w:val="18"/>
        </w:rPr>
        <w:t xml:space="preserve">, </w:t>
      </w:r>
      <w:r w:rsidR="00E65182">
        <w:rPr>
          <w:szCs w:val="18"/>
        </w:rPr>
        <w:t>r</w:t>
      </w:r>
      <w:r w:rsidR="005A44C1" w:rsidRPr="007E4437">
        <w:rPr>
          <w:szCs w:val="18"/>
        </w:rPr>
        <w:t>eg 5.3B.16 and 5.3B.65</w:t>
      </w:r>
    </w:p>
    <w:p w14:paraId="5D0728B5" w14:textId="754C2A9A" w:rsidR="0052739E" w:rsidRPr="00811C07" w:rsidRDefault="00095723" w:rsidP="0052739E">
      <w:r>
        <w:t>Section A (Schedule of debts and claims</w:t>
      </w:r>
      <w:r w:rsidR="000E7AFC">
        <w:t>)</w:t>
      </w:r>
      <w:r w:rsidR="0052739E">
        <w:t xml:space="preserve"> should be completed by </w:t>
      </w:r>
      <w:r w:rsidR="00942439">
        <w:t>the company</w:t>
      </w:r>
      <w:r w:rsidR="005068AF">
        <w:t xml:space="preserve"> director(s) on behalf of the company. </w:t>
      </w:r>
      <w:r w:rsidR="000E7AFC">
        <w:t>Section B (</w:t>
      </w:r>
      <w:r w:rsidR="000E7AFC" w:rsidRPr="000E7AFC">
        <w:t>Important information about restructuring plans</w:t>
      </w:r>
      <w:r w:rsidR="000E7AFC">
        <w:t xml:space="preserve">) should be read by </w:t>
      </w:r>
      <w:r w:rsidR="002A3CD6">
        <w:t xml:space="preserve">affected creditors. </w:t>
      </w:r>
    </w:p>
    <w:p w14:paraId="76B181BD" w14:textId="77777777" w:rsidR="0052739E" w:rsidRDefault="0052739E" w:rsidP="00034F73">
      <w:pPr>
        <w:spacing w:after="480"/>
      </w:pPr>
      <w:r>
        <w:t xml:space="preserve">This template uses hidden text (indicated by dotted underline). Viewing and printing hidden text options can be found in the Options dialogue box. </w:t>
      </w:r>
    </w:p>
    <w:p w14:paraId="3A3C7DE4" w14:textId="77777777" w:rsidR="005A44C1" w:rsidRPr="007E4437" w:rsidRDefault="005A44C1" w:rsidP="005A44C1">
      <w:pPr>
        <w:pStyle w:val="Heading2"/>
        <w:rPr>
          <w:rFonts w:ascii="Century Gothic" w:hAnsi="Century Gothic"/>
          <w:b w:val="0"/>
          <w:sz w:val="24"/>
          <w:szCs w:val="24"/>
        </w:rPr>
      </w:pPr>
      <w:r w:rsidRPr="007E4437">
        <w:rPr>
          <w:rFonts w:ascii="Century Gothic" w:hAnsi="Century Gothic"/>
          <w:sz w:val="24"/>
          <w:szCs w:val="24"/>
        </w:rPr>
        <w:t>A.</w:t>
      </w:r>
      <w:r w:rsidRPr="007E4437">
        <w:rPr>
          <w:rFonts w:ascii="Century Gothic" w:hAnsi="Century Gothic"/>
          <w:sz w:val="24"/>
          <w:szCs w:val="24"/>
        </w:rPr>
        <w:tab/>
        <w:t>Schedule of debts and claims</w:t>
      </w:r>
    </w:p>
    <w:p w14:paraId="3DB661D4" w14:textId="1527A4B3" w:rsidR="005A44C1" w:rsidRDefault="005A44C1" w:rsidP="005A44C1">
      <w:pPr>
        <w:rPr>
          <w:i/>
          <w:iCs/>
          <w:szCs w:val="18"/>
        </w:rPr>
      </w:pPr>
      <w:r w:rsidRPr="007E4437">
        <w:rPr>
          <w:b/>
          <w:bCs/>
          <w:i/>
          <w:iCs/>
          <w:szCs w:val="18"/>
        </w:rPr>
        <w:t>Note:</w:t>
      </w:r>
      <w:r w:rsidRPr="007E4437">
        <w:rPr>
          <w:i/>
          <w:iCs/>
          <w:szCs w:val="18"/>
        </w:rPr>
        <w:t xml:space="preserve"> A creditor who disputes an amount disclosed below as owing to them should immediately contact the restructuring practitioner who provided this plan.</w:t>
      </w:r>
    </w:p>
    <w:p w14:paraId="1634486D" w14:textId="7B75E267" w:rsidR="007D46B0" w:rsidRPr="00034F73" w:rsidRDefault="007D46B0" w:rsidP="005A44C1">
      <w:pPr>
        <w:rPr>
          <w:i/>
          <w:iCs/>
          <w:szCs w:val="18"/>
        </w:rPr>
      </w:pPr>
      <w:r w:rsidRPr="00034F73">
        <w:rPr>
          <w:i/>
          <w:iCs/>
          <w:szCs w:val="18"/>
        </w:rPr>
        <w:t>Tab from the last row to add more rows. In the last column, delete or strike through the answer that does not apply.</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20" w:firstRow="1" w:lastRow="0" w:firstColumn="0" w:lastColumn="0" w:noHBand="0" w:noVBand="1"/>
      </w:tblPr>
      <w:tblGrid>
        <w:gridCol w:w="4531"/>
        <w:gridCol w:w="2127"/>
        <w:gridCol w:w="2358"/>
      </w:tblGrid>
      <w:tr w:rsidR="005A44C1" w:rsidRPr="00E6525B" w14:paraId="63FEB800" w14:textId="77777777" w:rsidTr="00034F73">
        <w:tc>
          <w:tcPr>
            <w:tcW w:w="4531" w:type="dxa"/>
          </w:tcPr>
          <w:p w14:paraId="18D3DF3B" w14:textId="77777777" w:rsidR="005A44C1" w:rsidRPr="007E4437" w:rsidRDefault="005A44C1" w:rsidP="006C7D4F">
            <w:pPr>
              <w:spacing w:before="120" w:after="120"/>
              <w:rPr>
                <w:b/>
                <w:szCs w:val="18"/>
              </w:rPr>
            </w:pPr>
            <w:r w:rsidRPr="007E4437">
              <w:rPr>
                <w:b/>
                <w:szCs w:val="18"/>
              </w:rPr>
              <w:t>Creditor name</w:t>
            </w:r>
          </w:p>
        </w:tc>
        <w:tc>
          <w:tcPr>
            <w:tcW w:w="2127" w:type="dxa"/>
          </w:tcPr>
          <w:p w14:paraId="13278C6A" w14:textId="77777777" w:rsidR="005A44C1" w:rsidRPr="007E4437" w:rsidRDefault="005A44C1" w:rsidP="006C7D4F">
            <w:pPr>
              <w:spacing w:before="120" w:after="120"/>
              <w:rPr>
                <w:b/>
                <w:szCs w:val="18"/>
              </w:rPr>
            </w:pPr>
            <w:r w:rsidRPr="007E4437">
              <w:rPr>
                <w:b/>
                <w:szCs w:val="18"/>
              </w:rPr>
              <w:t>Amount owed</w:t>
            </w:r>
            <w:r w:rsidRPr="007E4437">
              <w:rPr>
                <w:b/>
                <w:bCs/>
                <w:szCs w:val="18"/>
              </w:rPr>
              <w:t xml:space="preserve"> ($)</w:t>
            </w:r>
          </w:p>
        </w:tc>
        <w:tc>
          <w:tcPr>
            <w:tcW w:w="2358" w:type="dxa"/>
          </w:tcPr>
          <w:p w14:paraId="6F4277E6" w14:textId="77777777" w:rsidR="005A44C1" w:rsidRPr="007E4437" w:rsidRDefault="005A44C1" w:rsidP="006C7D4F">
            <w:pPr>
              <w:spacing w:before="120" w:after="120"/>
              <w:rPr>
                <w:b/>
                <w:szCs w:val="18"/>
              </w:rPr>
            </w:pPr>
            <w:r w:rsidRPr="007E4437">
              <w:rPr>
                <w:b/>
                <w:szCs w:val="18"/>
              </w:rPr>
              <w:t>Related creditor [Y/N]</w:t>
            </w:r>
          </w:p>
        </w:tc>
      </w:tr>
      <w:tr w:rsidR="005A44C1" w:rsidRPr="00E6525B" w14:paraId="79B7811C" w14:textId="77777777" w:rsidTr="00034F73">
        <w:trPr>
          <w:hidden/>
        </w:trPr>
        <w:tc>
          <w:tcPr>
            <w:tcW w:w="4531" w:type="dxa"/>
          </w:tcPr>
          <w:p w14:paraId="3DE5C52C" w14:textId="181EE3BD" w:rsidR="005A44C1" w:rsidRPr="007E4437" w:rsidRDefault="00EC3E49" w:rsidP="00034F73">
            <w:pPr>
              <w:pStyle w:val="Tableformentry"/>
              <w:rPr>
                <w:szCs w:val="18"/>
              </w:rPr>
            </w:pPr>
            <w:r w:rsidRPr="00514222">
              <w:t>Enter text here</w:t>
            </w:r>
          </w:p>
        </w:tc>
        <w:tc>
          <w:tcPr>
            <w:tcW w:w="2127" w:type="dxa"/>
          </w:tcPr>
          <w:p w14:paraId="32C9F56A" w14:textId="1E8C4364" w:rsidR="005A44C1" w:rsidRPr="007E4437" w:rsidRDefault="00F15E2D" w:rsidP="00034F73">
            <w:pPr>
              <w:pStyle w:val="Tableformentry"/>
              <w:rPr>
                <w:szCs w:val="18"/>
              </w:rPr>
            </w:pPr>
            <w:r w:rsidRPr="00034F73">
              <w:t>Enter amount here</w:t>
            </w:r>
          </w:p>
        </w:tc>
        <w:tc>
          <w:tcPr>
            <w:tcW w:w="2358" w:type="dxa"/>
          </w:tcPr>
          <w:p w14:paraId="08D8A17A" w14:textId="32AD1B15" w:rsidR="005A44C1" w:rsidRPr="00D17354" w:rsidRDefault="00F74F06" w:rsidP="00034F73">
            <w:pPr>
              <w:tabs>
                <w:tab w:val="left" w:pos="1028"/>
              </w:tabs>
              <w:spacing w:before="120" w:after="120"/>
              <w:rPr>
                <w:bCs/>
                <w:szCs w:val="18"/>
              </w:rPr>
            </w:pPr>
            <w:r w:rsidRPr="00034F73">
              <w:rPr>
                <w:bCs/>
                <w:szCs w:val="18"/>
              </w:rPr>
              <w:t>Yes</w:t>
            </w:r>
            <w:r w:rsidR="00D17354" w:rsidRPr="00034F73">
              <w:rPr>
                <w:bCs/>
                <w:szCs w:val="18"/>
              </w:rPr>
              <w:tab/>
              <w:t>No</w:t>
            </w:r>
          </w:p>
        </w:tc>
      </w:tr>
      <w:tr w:rsidR="00D17354" w:rsidRPr="00E6525B" w14:paraId="3E3BCD18" w14:textId="77777777" w:rsidTr="00034F73">
        <w:trPr>
          <w:hidden/>
        </w:trPr>
        <w:tc>
          <w:tcPr>
            <w:tcW w:w="4531" w:type="dxa"/>
          </w:tcPr>
          <w:p w14:paraId="0FE10D6E" w14:textId="3AF540C2" w:rsidR="00D17354" w:rsidRPr="00DB76D7" w:rsidRDefault="00D17354" w:rsidP="00034F73">
            <w:pPr>
              <w:pStyle w:val="Tableformentry"/>
            </w:pPr>
            <w:r w:rsidRPr="00514222">
              <w:t>Enter text here</w:t>
            </w:r>
          </w:p>
        </w:tc>
        <w:tc>
          <w:tcPr>
            <w:tcW w:w="2127" w:type="dxa"/>
          </w:tcPr>
          <w:p w14:paraId="47CCEAFC" w14:textId="697B09E7" w:rsidR="00D17354" w:rsidRPr="00F15E2D" w:rsidRDefault="00D17354" w:rsidP="00034F73">
            <w:pPr>
              <w:pStyle w:val="Tableformentry"/>
            </w:pPr>
            <w:r w:rsidRPr="00C16361">
              <w:t>Enter amount here</w:t>
            </w:r>
          </w:p>
        </w:tc>
        <w:tc>
          <w:tcPr>
            <w:tcW w:w="2358" w:type="dxa"/>
          </w:tcPr>
          <w:p w14:paraId="1B5F9DF7" w14:textId="6F4FED2A" w:rsidR="00D17354" w:rsidRPr="007E4437" w:rsidRDefault="00D17354" w:rsidP="00034F73">
            <w:pPr>
              <w:tabs>
                <w:tab w:val="left" w:pos="1028"/>
              </w:tabs>
              <w:spacing w:before="120" w:after="120"/>
              <w:rPr>
                <w:szCs w:val="18"/>
              </w:rPr>
            </w:pPr>
            <w:r w:rsidRPr="005F5F5B">
              <w:rPr>
                <w:bCs/>
                <w:szCs w:val="18"/>
              </w:rPr>
              <w:t>Yes</w:t>
            </w:r>
            <w:r w:rsidRPr="005F5F5B">
              <w:rPr>
                <w:bCs/>
                <w:szCs w:val="18"/>
              </w:rPr>
              <w:tab/>
              <w:t>No</w:t>
            </w:r>
          </w:p>
        </w:tc>
      </w:tr>
      <w:tr w:rsidR="00D17354" w:rsidRPr="00E6525B" w14:paraId="06A24070" w14:textId="77777777" w:rsidTr="00034F73">
        <w:trPr>
          <w:hidden/>
        </w:trPr>
        <w:tc>
          <w:tcPr>
            <w:tcW w:w="4531" w:type="dxa"/>
          </w:tcPr>
          <w:p w14:paraId="1737ECAF" w14:textId="2580627B" w:rsidR="00D17354" w:rsidRPr="00DB76D7" w:rsidRDefault="00D17354" w:rsidP="00034F73">
            <w:pPr>
              <w:pStyle w:val="Tableformentry"/>
            </w:pPr>
            <w:r w:rsidRPr="00514222">
              <w:t>Enter text here</w:t>
            </w:r>
          </w:p>
        </w:tc>
        <w:tc>
          <w:tcPr>
            <w:tcW w:w="2127" w:type="dxa"/>
          </w:tcPr>
          <w:p w14:paraId="577FBCAE" w14:textId="256E62B1" w:rsidR="00D17354" w:rsidRPr="00F15E2D" w:rsidRDefault="00D17354" w:rsidP="00034F73">
            <w:pPr>
              <w:pStyle w:val="Tableformentry"/>
            </w:pPr>
            <w:r w:rsidRPr="00C16361">
              <w:t>Enter amount here</w:t>
            </w:r>
          </w:p>
        </w:tc>
        <w:tc>
          <w:tcPr>
            <w:tcW w:w="2358" w:type="dxa"/>
          </w:tcPr>
          <w:p w14:paraId="5A764783" w14:textId="178BE10F" w:rsidR="00D17354" w:rsidRPr="007E4437" w:rsidRDefault="00D17354" w:rsidP="00034F73">
            <w:pPr>
              <w:tabs>
                <w:tab w:val="left" w:pos="1028"/>
              </w:tabs>
              <w:spacing w:before="120" w:after="120"/>
              <w:rPr>
                <w:szCs w:val="18"/>
              </w:rPr>
            </w:pPr>
            <w:r w:rsidRPr="005F5F5B">
              <w:rPr>
                <w:bCs/>
                <w:szCs w:val="18"/>
              </w:rPr>
              <w:t>Yes</w:t>
            </w:r>
            <w:r w:rsidRPr="005F5F5B">
              <w:rPr>
                <w:bCs/>
                <w:szCs w:val="18"/>
              </w:rPr>
              <w:tab/>
              <w:t>No</w:t>
            </w:r>
          </w:p>
        </w:tc>
      </w:tr>
      <w:tr w:rsidR="00D17354" w:rsidRPr="00E6525B" w14:paraId="17A2C2FC" w14:textId="77777777" w:rsidTr="00034F73">
        <w:trPr>
          <w:hidden/>
        </w:trPr>
        <w:tc>
          <w:tcPr>
            <w:tcW w:w="4531" w:type="dxa"/>
          </w:tcPr>
          <w:p w14:paraId="198EC5FB" w14:textId="77ABF8C4" w:rsidR="00D17354" w:rsidRPr="00DB76D7" w:rsidRDefault="00D17354" w:rsidP="00034F73">
            <w:pPr>
              <w:pStyle w:val="Tableformentry"/>
            </w:pPr>
            <w:r w:rsidRPr="00514222">
              <w:t>Enter text here</w:t>
            </w:r>
          </w:p>
        </w:tc>
        <w:tc>
          <w:tcPr>
            <w:tcW w:w="2127" w:type="dxa"/>
          </w:tcPr>
          <w:p w14:paraId="154DF7FE" w14:textId="64E31780" w:rsidR="00D17354" w:rsidRPr="00F15E2D" w:rsidRDefault="00D17354" w:rsidP="00034F73">
            <w:pPr>
              <w:pStyle w:val="Tableformentry"/>
            </w:pPr>
            <w:r w:rsidRPr="00C16361">
              <w:t>Enter amount here</w:t>
            </w:r>
          </w:p>
        </w:tc>
        <w:tc>
          <w:tcPr>
            <w:tcW w:w="2358" w:type="dxa"/>
          </w:tcPr>
          <w:p w14:paraId="6B2F7B86" w14:textId="1DC53DEE" w:rsidR="00D17354" w:rsidRPr="007E4437" w:rsidRDefault="00D17354" w:rsidP="00034F73">
            <w:pPr>
              <w:tabs>
                <w:tab w:val="left" w:pos="1028"/>
              </w:tabs>
              <w:spacing w:before="120" w:after="120"/>
              <w:rPr>
                <w:szCs w:val="18"/>
              </w:rPr>
            </w:pPr>
            <w:r w:rsidRPr="005F5F5B">
              <w:rPr>
                <w:bCs/>
                <w:szCs w:val="18"/>
              </w:rPr>
              <w:t>Yes</w:t>
            </w:r>
            <w:r w:rsidRPr="005F5F5B">
              <w:rPr>
                <w:bCs/>
                <w:szCs w:val="18"/>
              </w:rPr>
              <w:tab/>
              <w:t>No</w:t>
            </w:r>
          </w:p>
        </w:tc>
      </w:tr>
      <w:tr w:rsidR="00D17354" w:rsidRPr="00E6525B" w14:paraId="3A08600E" w14:textId="77777777" w:rsidTr="00034F73">
        <w:trPr>
          <w:hidden/>
        </w:trPr>
        <w:tc>
          <w:tcPr>
            <w:tcW w:w="4531" w:type="dxa"/>
          </w:tcPr>
          <w:p w14:paraId="5A1F0866" w14:textId="51A98FC8" w:rsidR="00D17354" w:rsidRPr="00DB76D7" w:rsidRDefault="00D17354" w:rsidP="00034F73">
            <w:pPr>
              <w:pStyle w:val="Tableformentry"/>
            </w:pPr>
            <w:r w:rsidRPr="00514222">
              <w:t>Enter text here</w:t>
            </w:r>
          </w:p>
        </w:tc>
        <w:tc>
          <w:tcPr>
            <w:tcW w:w="2127" w:type="dxa"/>
          </w:tcPr>
          <w:p w14:paraId="73921C80" w14:textId="730C9C19" w:rsidR="00D17354" w:rsidRPr="00F15E2D" w:rsidRDefault="00D17354" w:rsidP="00034F73">
            <w:pPr>
              <w:pStyle w:val="Tableformentry"/>
            </w:pPr>
            <w:r w:rsidRPr="00C16361">
              <w:t>Enter amount here</w:t>
            </w:r>
          </w:p>
        </w:tc>
        <w:tc>
          <w:tcPr>
            <w:tcW w:w="2358" w:type="dxa"/>
          </w:tcPr>
          <w:p w14:paraId="475C4679" w14:textId="73655E21" w:rsidR="00D17354" w:rsidRPr="007E4437" w:rsidRDefault="00D17354" w:rsidP="00034F73">
            <w:pPr>
              <w:tabs>
                <w:tab w:val="left" w:pos="1028"/>
              </w:tabs>
              <w:spacing w:before="120" w:after="120"/>
              <w:rPr>
                <w:szCs w:val="18"/>
              </w:rPr>
            </w:pPr>
            <w:r w:rsidRPr="005F5F5B">
              <w:rPr>
                <w:bCs/>
                <w:szCs w:val="18"/>
              </w:rPr>
              <w:t>Yes</w:t>
            </w:r>
            <w:r w:rsidRPr="005F5F5B">
              <w:rPr>
                <w:bCs/>
                <w:szCs w:val="18"/>
              </w:rPr>
              <w:tab/>
              <w:t>No</w:t>
            </w:r>
          </w:p>
        </w:tc>
      </w:tr>
      <w:tr w:rsidR="00D17354" w:rsidRPr="00E6525B" w14:paraId="45994425" w14:textId="77777777" w:rsidTr="00034F73">
        <w:trPr>
          <w:hidden/>
        </w:trPr>
        <w:tc>
          <w:tcPr>
            <w:tcW w:w="4531" w:type="dxa"/>
          </w:tcPr>
          <w:p w14:paraId="6E59D997" w14:textId="6508EA4C" w:rsidR="00D17354" w:rsidRPr="00DB76D7" w:rsidRDefault="00D17354" w:rsidP="00034F73">
            <w:pPr>
              <w:pStyle w:val="Tableformentry"/>
            </w:pPr>
            <w:r w:rsidRPr="00514222">
              <w:t>Enter text here</w:t>
            </w:r>
          </w:p>
        </w:tc>
        <w:tc>
          <w:tcPr>
            <w:tcW w:w="2127" w:type="dxa"/>
          </w:tcPr>
          <w:p w14:paraId="07FD7443" w14:textId="626ED0DA" w:rsidR="00D17354" w:rsidRPr="00F15E2D" w:rsidRDefault="00D17354" w:rsidP="00034F73">
            <w:pPr>
              <w:pStyle w:val="Tableformentry"/>
            </w:pPr>
            <w:r w:rsidRPr="00C16361">
              <w:t>Enter amount here</w:t>
            </w:r>
          </w:p>
        </w:tc>
        <w:tc>
          <w:tcPr>
            <w:tcW w:w="2358" w:type="dxa"/>
          </w:tcPr>
          <w:p w14:paraId="2161F24D" w14:textId="22AF43D5" w:rsidR="00D17354" w:rsidRPr="007E4437" w:rsidRDefault="00D17354" w:rsidP="00034F73">
            <w:pPr>
              <w:tabs>
                <w:tab w:val="left" w:pos="1028"/>
              </w:tabs>
              <w:spacing w:before="120" w:after="120"/>
              <w:rPr>
                <w:szCs w:val="18"/>
              </w:rPr>
            </w:pPr>
            <w:r w:rsidRPr="005F5F5B">
              <w:rPr>
                <w:bCs/>
                <w:szCs w:val="18"/>
              </w:rPr>
              <w:t>Yes</w:t>
            </w:r>
            <w:r w:rsidRPr="005F5F5B">
              <w:rPr>
                <w:bCs/>
                <w:szCs w:val="18"/>
              </w:rPr>
              <w:tab/>
              <w:t>No</w:t>
            </w:r>
          </w:p>
        </w:tc>
      </w:tr>
      <w:tr w:rsidR="00D17354" w:rsidRPr="00E6525B" w14:paraId="6BBEFEE8" w14:textId="77777777" w:rsidTr="00034F73">
        <w:trPr>
          <w:hidden/>
        </w:trPr>
        <w:tc>
          <w:tcPr>
            <w:tcW w:w="4531" w:type="dxa"/>
          </w:tcPr>
          <w:p w14:paraId="23D826EB" w14:textId="4B503BA2" w:rsidR="00D17354" w:rsidRPr="00DB76D7" w:rsidRDefault="00D17354" w:rsidP="00034F73">
            <w:pPr>
              <w:pStyle w:val="Tableformentry"/>
            </w:pPr>
            <w:r w:rsidRPr="00514222">
              <w:t>Enter text here</w:t>
            </w:r>
          </w:p>
        </w:tc>
        <w:tc>
          <w:tcPr>
            <w:tcW w:w="2127" w:type="dxa"/>
          </w:tcPr>
          <w:p w14:paraId="3659D94B" w14:textId="7BC4A350" w:rsidR="00D17354" w:rsidRPr="00F15E2D" w:rsidRDefault="00D17354" w:rsidP="00034F73">
            <w:pPr>
              <w:pStyle w:val="Tableformentry"/>
            </w:pPr>
            <w:r w:rsidRPr="00C16361">
              <w:t>Enter amount here</w:t>
            </w:r>
          </w:p>
        </w:tc>
        <w:tc>
          <w:tcPr>
            <w:tcW w:w="2358" w:type="dxa"/>
          </w:tcPr>
          <w:p w14:paraId="2FF1D682" w14:textId="1E8AFC19" w:rsidR="00D17354" w:rsidRPr="007E4437" w:rsidRDefault="00D17354" w:rsidP="00034F73">
            <w:pPr>
              <w:tabs>
                <w:tab w:val="left" w:pos="1028"/>
              </w:tabs>
              <w:spacing w:before="120" w:after="120"/>
              <w:rPr>
                <w:szCs w:val="18"/>
              </w:rPr>
            </w:pPr>
            <w:r w:rsidRPr="005F5F5B">
              <w:rPr>
                <w:bCs/>
                <w:szCs w:val="18"/>
              </w:rPr>
              <w:t>Yes</w:t>
            </w:r>
            <w:r w:rsidRPr="005F5F5B">
              <w:rPr>
                <w:bCs/>
                <w:szCs w:val="18"/>
              </w:rPr>
              <w:tab/>
              <w:t>No</w:t>
            </w:r>
          </w:p>
        </w:tc>
      </w:tr>
      <w:tr w:rsidR="00D17354" w:rsidRPr="00E6525B" w14:paraId="71E2D234" w14:textId="77777777" w:rsidTr="00034F73">
        <w:trPr>
          <w:hidden/>
        </w:trPr>
        <w:tc>
          <w:tcPr>
            <w:tcW w:w="4531" w:type="dxa"/>
          </w:tcPr>
          <w:p w14:paraId="194607A4" w14:textId="0C8C7B3C" w:rsidR="00D17354" w:rsidRPr="00DB76D7" w:rsidRDefault="00D17354" w:rsidP="00034F73">
            <w:pPr>
              <w:pStyle w:val="Tableformentry"/>
            </w:pPr>
            <w:r w:rsidRPr="00514222">
              <w:t>Enter text here</w:t>
            </w:r>
          </w:p>
        </w:tc>
        <w:tc>
          <w:tcPr>
            <w:tcW w:w="2127" w:type="dxa"/>
          </w:tcPr>
          <w:p w14:paraId="2E9FCDB6" w14:textId="28B95018" w:rsidR="00D17354" w:rsidRPr="00F15E2D" w:rsidRDefault="00D17354" w:rsidP="00034F73">
            <w:pPr>
              <w:pStyle w:val="Tableformentry"/>
            </w:pPr>
            <w:r w:rsidRPr="00C16361">
              <w:t>Enter amount here</w:t>
            </w:r>
          </w:p>
        </w:tc>
        <w:tc>
          <w:tcPr>
            <w:tcW w:w="2358" w:type="dxa"/>
          </w:tcPr>
          <w:p w14:paraId="43A37C42" w14:textId="4DAECEEA" w:rsidR="00D17354" w:rsidRPr="007E4437" w:rsidRDefault="00D17354" w:rsidP="00034F73">
            <w:pPr>
              <w:tabs>
                <w:tab w:val="left" w:pos="1028"/>
              </w:tabs>
              <w:spacing w:before="120" w:after="120"/>
              <w:rPr>
                <w:szCs w:val="18"/>
              </w:rPr>
            </w:pPr>
            <w:r w:rsidRPr="005F5F5B">
              <w:rPr>
                <w:bCs/>
                <w:szCs w:val="18"/>
              </w:rPr>
              <w:t>Yes</w:t>
            </w:r>
            <w:r w:rsidRPr="005F5F5B">
              <w:rPr>
                <w:bCs/>
                <w:szCs w:val="18"/>
              </w:rPr>
              <w:tab/>
              <w:t>No</w:t>
            </w:r>
          </w:p>
        </w:tc>
      </w:tr>
      <w:tr w:rsidR="00D17354" w:rsidRPr="00E6525B" w14:paraId="5739366F" w14:textId="77777777" w:rsidTr="00034F73">
        <w:trPr>
          <w:hidden/>
        </w:trPr>
        <w:tc>
          <w:tcPr>
            <w:tcW w:w="4531" w:type="dxa"/>
          </w:tcPr>
          <w:p w14:paraId="25A71A1D" w14:textId="3AF40068" w:rsidR="00D17354" w:rsidRPr="00DB76D7" w:rsidRDefault="00D17354" w:rsidP="00034F73">
            <w:pPr>
              <w:pStyle w:val="Tableformentry"/>
            </w:pPr>
            <w:r w:rsidRPr="00514222">
              <w:t>Enter text here</w:t>
            </w:r>
          </w:p>
        </w:tc>
        <w:tc>
          <w:tcPr>
            <w:tcW w:w="2127" w:type="dxa"/>
          </w:tcPr>
          <w:p w14:paraId="16A1A2E1" w14:textId="595D223B" w:rsidR="00D17354" w:rsidRPr="00F15E2D" w:rsidRDefault="00D17354" w:rsidP="00034F73">
            <w:pPr>
              <w:pStyle w:val="Tableformentry"/>
            </w:pPr>
            <w:r w:rsidRPr="00C16361">
              <w:t>Enter amount here</w:t>
            </w:r>
          </w:p>
        </w:tc>
        <w:tc>
          <w:tcPr>
            <w:tcW w:w="2358" w:type="dxa"/>
          </w:tcPr>
          <w:p w14:paraId="51F24B22" w14:textId="6688DA03" w:rsidR="00D17354" w:rsidRPr="007E4437" w:rsidRDefault="00D17354" w:rsidP="00034F73">
            <w:pPr>
              <w:tabs>
                <w:tab w:val="left" w:pos="1028"/>
              </w:tabs>
              <w:spacing w:before="120" w:after="120"/>
              <w:rPr>
                <w:szCs w:val="18"/>
              </w:rPr>
            </w:pPr>
            <w:r w:rsidRPr="005F5F5B">
              <w:rPr>
                <w:bCs/>
                <w:szCs w:val="18"/>
              </w:rPr>
              <w:t>Yes</w:t>
            </w:r>
            <w:r w:rsidRPr="005F5F5B">
              <w:rPr>
                <w:bCs/>
                <w:szCs w:val="18"/>
              </w:rPr>
              <w:tab/>
              <w:t>No</w:t>
            </w:r>
          </w:p>
        </w:tc>
      </w:tr>
      <w:tr w:rsidR="00D17354" w:rsidRPr="00E6525B" w14:paraId="49B2C6E5" w14:textId="77777777" w:rsidTr="00034F73">
        <w:trPr>
          <w:hidden/>
        </w:trPr>
        <w:tc>
          <w:tcPr>
            <w:tcW w:w="4531" w:type="dxa"/>
          </w:tcPr>
          <w:p w14:paraId="48EA2D6B" w14:textId="7AAC8D36" w:rsidR="00D17354" w:rsidRPr="00DB76D7" w:rsidRDefault="00D17354" w:rsidP="00034F73">
            <w:pPr>
              <w:pStyle w:val="Tableformentry"/>
            </w:pPr>
            <w:r w:rsidRPr="00514222">
              <w:t>Enter text here</w:t>
            </w:r>
          </w:p>
        </w:tc>
        <w:tc>
          <w:tcPr>
            <w:tcW w:w="2127" w:type="dxa"/>
          </w:tcPr>
          <w:p w14:paraId="5ADD4DB1" w14:textId="732F9843" w:rsidR="00D17354" w:rsidRPr="00F15E2D" w:rsidRDefault="00D17354" w:rsidP="00034F73">
            <w:pPr>
              <w:pStyle w:val="Tableformentry"/>
            </w:pPr>
            <w:r w:rsidRPr="00C16361">
              <w:t>Enter amount here</w:t>
            </w:r>
          </w:p>
        </w:tc>
        <w:tc>
          <w:tcPr>
            <w:tcW w:w="2358" w:type="dxa"/>
          </w:tcPr>
          <w:p w14:paraId="7F6B1287" w14:textId="2A8B900D" w:rsidR="00D17354" w:rsidRPr="007E4437" w:rsidRDefault="00D17354" w:rsidP="00034F73">
            <w:pPr>
              <w:tabs>
                <w:tab w:val="left" w:pos="1028"/>
              </w:tabs>
              <w:spacing w:before="120" w:after="120"/>
              <w:rPr>
                <w:szCs w:val="18"/>
              </w:rPr>
            </w:pPr>
            <w:r w:rsidRPr="005F5F5B">
              <w:rPr>
                <w:bCs/>
                <w:szCs w:val="18"/>
              </w:rPr>
              <w:t>Yes</w:t>
            </w:r>
            <w:r w:rsidRPr="005F5F5B">
              <w:rPr>
                <w:bCs/>
                <w:szCs w:val="18"/>
              </w:rPr>
              <w:tab/>
              <w:t>No</w:t>
            </w:r>
            <w:r w:rsidDel="00F74F06">
              <w:rPr>
                <w:szCs w:val="18"/>
              </w:rPr>
              <w:t xml:space="preserve"> </w:t>
            </w:r>
          </w:p>
        </w:tc>
      </w:tr>
    </w:tbl>
    <w:p w14:paraId="2FF36BA4" w14:textId="77777777" w:rsidR="005A44C1" w:rsidRPr="007E4437" w:rsidRDefault="005A44C1" w:rsidP="005A44C1">
      <w:r w:rsidRPr="007E4437">
        <w:br w:type="page"/>
      </w:r>
    </w:p>
    <w:p w14:paraId="287541C7" w14:textId="6FD9D134" w:rsidR="005A44C1" w:rsidRPr="007E4437" w:rsidRDefault="005A44C1" w:rsidP="005A44C1">
      <w:pPr>
        <w:pStyle w:val="Heading2"/>
        <w:rPr>
          <w:rFonts w:ascii="Century Gothic" w:hAnsi="Century Gothic"/>
          <w:sz w:val="24"/>
          <w:szCs w:val="24"/>
        </w:rPr>
      </w:pPr>
      <w:r w:rsidRPr="007E4437">
        <w:rPr>
          <w:rFonts w:ascii="Century Gothic" w:hAnsi="Century Gothic"/>
          <w:sz w:val="24"/>
          <w:szCs w:val="24"/>
        </w:rPr>
        <w:lastRenderedPageBreak/>
        <w:t>B.</w:t>
      </w:r>
      <w:r w:rsidRPr="007E4437">
        <w:rPr>
          <w:rFonts w:ascii="Century Gothic" w:hAnsi="Century Gothic"/>
          <w:sz w:val="24"/>
          <w:szCs w:val="24"/>
        </w:rPr>
        <w:tab/>
      </w:r>
      <w:bookmarkStart w:id="1" w:name="_Hlk181368116"/>
      <w:r w:rsidRPr="007E4437">
        <w:rPr>
          <w:rFonts w:ascii="Century Gothic" w:hAnsi="Century Gothic"/>
          <w:sz w:val="24"/>
          <w:szCs w:val="24"/>
        </w:rPr>
        <w:t xml:space="preserve">Important </w:t>
      </w:r>
      <w:r w:rsidR="00336BAC">
        <w:rPr>
          <w:rFonts w:ascii="Century Gothic" w:hAnsi="Century Gothic"/>
          <w:sz w:val="24"/>
          <w:szCs w:val="24"/>
        </w:rPr>
        <w:t>i</w:t>
      </w:r>
      <w:r w:rsidRPr="007E4437">
        <w:rPr>
          <w:rFonts w:ascii="Century Gothic" w:hAnsi="Century Gothic"/>
          <w:sz w:val="24"/>
          <w:szCs w:val="24"/>
        </w:rPr>
        <w:t>nformation about restructuring plans</w:t>
      </w:r>
      <w:bookmarkEnd w:id="1"/>
    </w:p>
    <w:p w14:paraId="356948E8" w14:textId="543CB1C1" w:rsidR="005A44C1" w:rsidRPr="007E4437" w:rsidRDefault="005A44C1" w:rsidP="005A44C1">
      <w:pPr>
        <w:pStyle w:val="Heading3"/>
        <w:rPr>
          <w:szCs w:val="20"/>
        </w:rPr>
      </w:pPr>
      <w:r w:rsidRPr="007E4437">
        <w:rPr>
          <w:szCs w:val="20"/>
        </w:rPr>
        <w:t xml:space="preserve">Deciding whether to accept a </w:t>
      </w:r>
      <w:r w:rsidR="00336BAC">
        <w:rPr>
          <w:szCs w:val="20"/>
        </w:rPr>
        <w:t>p</w:t>
      </w:r>
      <w:r w:rsidRPr="007E4437">
        <w:rPr>
          <w:szCs w:val="20"/>
        </w:rPr>
        <w:t xml:space="preserve">lan </w:t>
      </w:r>
    </w:p>
    <w:p w14:paraId="231ECF6A" w14:textId="77777777" w:rsidR="005A44C1" w:rsidRPr="00713DA5" w:rsidRDefault="005A44C1" w:rsidP="00034F73">
      <w:pPr>
        <w:pStyle w:val="ListParagraph"/>
        <w:numPr>
          <w:ilvl w:val="0"/>
          <w:numId w:val="19"/>
        </w:numPr>
        <w:rPr>
          <w:szCs w:val="18"/>
        </w:rPr>
      </w:pPr>
      <w:bookmarkStart w:id="2" w:name="_Ref181364013"/>
      <w:r w:rsidRPr="00713DA5">
        <w:rPr>
          <w:szCs w:val="18"/>
        </w:rPr>
        <w:t>A decision about whether a restructuring plan should be accepted is made by affected creditors who receive the following documents from a restructuring practitioner in relation to a company:</w:t>
      </w:r>
      <w:bookmarkEnd w:id="2"/>
    </w:p>
    <w:p w14:paraId="7007D4E5" w14:textId="6E35E9A3" w:rsidR="005A44C1" w:rsidRPr="00A53659" w:rsidRDefault="005A44C1" w:rsidP="00034F73">
      <w:pPr>
        <w:pStyle w:val="ListParagraph"/>
        <w:numPr>
          <w:ilvl w:val="1"/>
          <w:numId w:val="19"/>
        </w:numPr>
        <w:rPr>
          <w:szCs w:val="18"/>
        </w:rPr>
      </w:pPr>
      <w:bookmarkStart w:id="3" w:name="_Ref181363415"/>
      <w:r w:rsidRPr="00A53659">
        <w:rPr>
          <w:szCs w:val="18"/>
        </w:rPr>
        <w:t>the company</w:t>
      </w:r>
      <w:r w:rsidR="009A299E">
        <w:rPr>
          <w:szCs w:val="18"/>
        </w:rPr>
        <w:t>’</w:t>
      </w:r>
      <w:r w:rsidRPr="00A53659">
        <w:rPr>
          <w:szCs w:val="18"/>
        </w:rPr>
        <w:t>s restructuring plan;</w:t>
      </w:r>
      <w:bookmarkEnd w:id="3"/>
    </w:p>
    <w:p w14:paraId="777F48A7" w14:textId="3D39C884" w:rsidR="005A44C1" w:rsidRPr="00A53659" w:rsidRDefault="005A44C1" w:rsidP="00034F73">
      <w:pPr>
        <w:pStyle w:val="ListParagraph"/>
        <w:numPr>
          <w:ilvl w:val="1"/>
          <w:numId w:val="19"/>
        </w:numPr>
        <w:rPr>
          <w:szCs w:val="18"/>
        </w:rPr>
      </w:pPr>
      <w:r w:rsidRPr="00A53659">
        <w:rPr>
          <w:szCs w:val="18"/>
        </w:rPr>
        <w:t>restructuring plan standard terms;</w:t>
      </w:r>
    </w:p>
    <w:p w14:paraId="69132B6C" w14:textId="2EF50A62" w:rsidR="005A44C1" w:rsidRPr="00A53659" w:rsidRDefault="005A44C1" w:rsidP="00034F73">
      <w:pPr>
        <w:pStyle w:val="ListParagraph"/>
        <w:numPr>
          <w:ilvl w:val="1"/>
          <w:numId w:val="19"/>
        </w:numPr>
        <w:rPr>
          <w:szCs w:val="18"/>
        </w:rPr>
      </w:pPr>
      <w:r w:rsidRPr="00A53659">
        <w:rPr>
          <w:szCs w:val="18"/>
        </w:rPr>
        <w:t>the company</w:t>
      </w:r>
      <w:r w:rsidR="009A299E">
        <w:rPr>
          <w:szCs w:val="18"/>
        </w:rPr>
        <w:t>’</w:t>
      </w:r>
      <w:r w:rsidRPr="00A53659">
        <w:rPr>
          <w:szCs w:val="18"/>
        </w:rPr>
        <w:t>s restructuring proposal statement</w:t>
      </w:r>
      <w:r w:rsidR="004B67D0">
        <w:rPr>
          <w:szCs w:val="18"/>
        </w:rPr>
        <w:t>; and</w:t>
      </w:r>
      <w:r w:rsidRPr="00A53659">
        <w:rPr>
          <w:szCs w:val="18"/>
        </w:rPr>
        <w:t xml:space="preserve"> </w:t>
      </w:r>
    </w:p>
    <w:p w14:paraId="5C04CA9F" w14:textId="3F4295D1" w:rsidR="00E87E27" w:rsidRDefault="005A44C1" w:rsidP="00266A4B">
      <w:pPr>
        <w:pStyle w:val="ListParagraph"/>
        <w:numPr>
          <w:ilvl w:val="1"/>
          <w:numId w:val="19"/>
        </w:numPr>
        <w:rPr>
          <w:szCs w:val="18"/>
        </w:rPr>
      </w:pPr>
      <w:bookmarkStart w:id="4" w:name="_Ref181363417"/>
      <w:r w:rsidRPr="00A53659">
        <w:rPr>
          <w:szCs w:val="18"/>
        </w:rPr>
        <w:t>a declaration from the restructuring practitioner about</w:t>
      </w:r>
      <w:r w:rsidR="00E87E27">
        <w:rPr>
          <w:szCs w:val="18"/>
        </w:rPr>
        <w:t>:</w:t>
      </w:r>
      <w:bookmarkEnd w:id="4"/>
      <w:r w:rsidRPr="00A53659">
        <w:rPr>
          <w:szCs w:val="18"/>
        </w:rPr>
        <w:t xml:space="preserve"> </w:t>
      </w:r>
    </w:p>
    <w:p w14:paraId="79FC065A" w14:textId="5D9BE5B6" w:rsidR="00E87E27" w:rsidRDefault="005A44C1" w:rsidP="00123286">
      <w:pPr>
        <w:pStyle w:val="ListParagraph"/>
        <w:numPr>
          <w:ilvl w:val="2"/>
          <w:numId w:val="19"/>
        </w:numPr>
        <w:rPr>
          <w:szCs w:val="18"/>
        </w:rPr>
      </w:pPr>
      <w:r w:rsidRPr="00E87E27">
        <w:rPr>
          <w:szCs w:val="18"/>
        </w:rPr>
        <w:t>whether the eligibility criteria for restructuring are met</w:t>
      </w:r>
      <w:r w:rsidR="00E87E27">
        <w:rPr>
          <w:szCs w:val="18"/>
        </w:rPr>
        <w:t>;</w:t>
      </w:r>
      <w:r w:rsidRPr="00E87E27">
        <w:rPr>
          <w:szCs w:val="18"/>
        </w:rPr>
        <w:t xml:space="preserve"> </w:t>
      </w:r>
    </w:p>
    <w:p w14:paraId="252FCA1D" w14:textId="40C869AF" w:rsidR="00E87E27" w:rsidRDefault="005A44C1" w:rsidP="00123286">
      <w:pPr>
        <w:pStyle w:val="ListParagraph"/>
        <w:numPr>
          <w:ilvl w:val="2"/>
          <w:numId w:val="19"/>
        </w:numPr>
        <w:rPr>
          <w:szCs w:val="18"/>
        </w:rPr>
      </w:pPr>
      <w:r w:rsidRPr="00E87E27">
        <w:rPr>
          <w:szCs w:val="18"/>
        </w:rPr>
        <w:t>whether the company is likely to be able to discharge the plan obligations</w:t>
      </w:r>
      <w:r w:rsidR="00E87E27">
        <w:rPr>
          <w:szCs w:val="18"/>
        </w:rPr>
        <w:t>;</w:t>
      </w:r>
      <w:r w:rsidRPr="00E87E27">
        <w:rPr>
          <w:szCs w:val="18"/>
        </w:rPr>
        <w:t xml:space="preserve"> and </w:t>
      </w:r>
    </w:p>
    <w:p w14:paraId="1F75B8B6" w14:textId="14A71CC1" w:rsidR="005A44C1" w:rsidRPr="00E87E27" w:rsidRDefault="005A44C1" w:rsidP="00034F73">
      <w:pPr>
        <w:pStyle w:val="ListParagraph"/>
        <w:numPr>
          <w:ilvl w:val="2"/>
          <w:numId w:val="19"/>
        </w:numPr>
        <w:rPr>
          <w:szCs w:val="18"/>
        </w:rPr>
      </w:pPr>
      <w:r w:rsidRPr="00E87E27">
        <w:rPr>
          <w:szCs w:val="18"/>
        </w:rPr>
        <w:t>the practitioner</w:t>
      </w:r>
      <w:r w:rsidR="009A299E">
        <w:rPr>
          <w:szCs w:val="18"/>
        </w:rPr>
        <w:t>’</w:t>
      </w:r>
      <w:r w:rsidRPr="00E87E27">
        <w:rPr>
          <w:szCs w:val="18"/>
        </w:rPr>
        <w:t xml:space="preserve">s belief about the completeness of </w:t>
      </w:r>
      <w:r w:rsidR="00E87E27">
        <w:rPr>
          <w:szCs w:val="18"/>
        </w:rPr>
        <w:t xml:space="preserve">the </w:t>
      </w:r>
      <w:r w:rsidRPr="00E87E27">
        <w:rPr>
          <w:szCs w:val="18"/>
        </w:rPr>
        <w:t>information set out in the company</w:t>
      </w:r>
      <w:r w:rsidR="009A299E">
        <w:rPr>
          <w:szCs w:val="18"/>
        </w:rPr>
        <w:t>’</w:t>
      </w:r>
      <w:r w:rsidRPr="00E87E27">
        <w:rPr>
          <w:szCs w:val="18"/>
        </w:rPr>
        <w:t>s restructuring proposal statement</w:t>
      </w:r>
      <w:r w:rsidR="00E87E27">
        <w:rPr>
          <w:szCs w:val="18"/>
        </w:rPr>
        <w:t>.</w:t>
      </w:r>
    </w:p>
    <w:p w14:paraId="023BD5DE" w14:textId="77777777" w:rsidR="005A44C1" w:rsidRPr="00713DA5" w:rsidRDefault="005A44C1" w:rsidP="00034F73">
      <w:pPr>
        <w:pStyle w:val="ListParagraph"/>
        <w:numPr>
          <w:ilvl w:val="0"/>
          <w:numId w:val="19"/>
        </w:numPr>
        <w:rPr>
          <w:szCs w:val="18"/>
        </w:rPr>
      </w:pPr>
      <w:r w:rsidRPr="00713DA5">
        <w:rPr>
          <w:szCs w:val="18"/>
        </w:rPr>
        <w:t>These documents must be accompanied by a request to an affected creditor from the practitioner to:</w:t>
      </w:r>
    </w:p>
    <w:p w14:paraId="4C885E85" w14:textId="0FA49B4D" w:rsidR="005A44C1" w:rsidRPr="007E4437" w:rsidRDefault="005A44C1" w:rsidP="00034F73">
      <w:pPr>
        <w:pStyle w:val="ListParagraph"/>
        <w:numPr>
          <w:ilvl w:val="1"/>
          <w:numId w:val="19"/>
        </w:numPr>
        <w:rPr>
          <w:szCs w:val="18"/>
        </w:rPr>
      </w:pPr>
      <w:r w:rsidRPr="007E4437">
        <w:rPr>
          <w:szCs w:val="18"/>
        </w:rPr>
        <w:t xml:space="preserve">give a statement </w:t>
      </w:r>
      <w:r w:rsidR="005B3612" w:rsidRPr="007E4437">
        <w:rPr>
          <w:szCs w:val="18"/>
        </w:rPr>
        <w:t xml:space="preserve">about </w:t>
      </w:r>
      <w:r w:rsidRPr="007E4437">
        <w:rPr>
          <w:szCs w:val="18"/>
        </w:rPr>
        <w:t>whether or not the restructuring plan should be accepted;</w:t>
      </w:r>
    </w:p>
    <w:p w14:paraId="269EE8FD" w14:textId="292485E7" w:rsidR="005A44C1" w:rsidRPr="007E4437" w:rsidRDefault="005A44C1" w:rsidP="00034F73">
      <w:pPr>
        <w:pStyle w:val="ListParagraph"/>
        <w:numPr>
          <w:ilvl w:val="1"/>
          <w:numId w:val="19"/>
        </w:numPr>
        <w:rPr>
          <w:szCs w:val="18"/>
        </w:rPr>
      </w:pPr>
      <w:r w:rsidRPr="007E4437">
        <w:rPr>
          <w:szCs w:val="18"/>
        </w:rPr>
        <w:t>if the affected creditor agrees with the assessment of the creditor</w:t>
      </w:r>
      <w:r w:rsidR="009A299E">
        <w:rPr>
          <w:szCs w:val="18"/>
        </w:rPr>
        <w:t>’</w:t>
      </w:r>
      <w:r w:rsidRPr="007E4437">
        <w:rPr>
          <w:szCs w:val="18"/>
        </w:rPr>
        <w:t xml:space="preserve"> s admissible debts or claims</w:t>
      </w:r>
      <w:r w:rsidR="00C65ED7">
        <w:rPr>
          <w:szCs w:val="18"/>
        </w:rPr>
        <w:t>—</w:t>
      </w:r>
      <w:r w:rsidRPr="007E4437">
        <w:rPr>
          <w:szCs w:val="18"/>
        </w:rPr>
        <w:t>verify the creditor</w:t>
      </w:r>
      <w:r w:rsidR="009A299E">
        <w:rPr>
          <w:szCs w:val="18"/>
        </w:rPr>
        <w:t>’</w:t>
      </w:r>
      <w:r w:rsidRPr="007E4437">
        <w:rPr>
          <w:szCs w:val="18"/>
        </w:rPr>
        <w:t>s admissible debts or claims as set out in the restructuring proposal statement</w:t>
      </w:r>
      <w:r w:rsidR="005B3612" w:rsidRPr="007E4437">
        <w:rPr>
          <w:szCs w:val="18"/>
        </w:rPr>
        <w:t>; and</w:t>
      </w:r>
    </w:p>
    <w:p w14:paraId="395D0621" w14:textId="0249562F" w:rsidR="005A44C1" w:rsidRPr="007E4437" w:rsidRDefault="005A44C1" w:rsidP="00034F73">
      <w:pPr>
        <w:pStyle w:val="ListParagraph"/>
        <w:numPr>
          <w:ilvl w:val="1"/>
          <w:numId w:val="19"/>
        </w:numPr>
        <w:rPr>
          <w:szCs w:val="18"/>
        </w:rPr>
      </w:pPr>
      <w:r w:rsidRPr="007E4437">
        <w:rPr>
          <w:szCs w:val="18"/>
        </w:rPr>
        <w:t>if the affected creditor does not agree with the assessment of the creditor</w:t>
      </w:r>
      <w:r w:rsidR="009A299E">
        <w:rPr>
          <w:szCs w:val="18"/>
        </w:rPr>
        <w:t>’</w:t>
      </w:r>
      <w:r w:rsidRPr="007E4437">
        <w:rPr>
          <w:szCs w:val="18"/>
        </w:rPr>
        <w:t>s admissible debts or claims set out in the restructuring proposal statement</w:t>
      </w:r>
      <w:r w:rsidR="00BD7003">
        <w:rPr>
          <w:szCs w:val="18"/>
        </w:rPr>
        <w:t>—</w:t>
      </w:r>
      <w:r w:rsidRPr="007E4437">
        <w:rPr>
          <w:szCs w:val="18"/>
        </w:rPr>
        <w:t xml:space="preserve">notify the restructuring practitioner under </w:t>
      </w:r>
      <w:r w:rsidR="00BD7003">
        <w:rPr>
          <w:szCs w:val="18"/>
        </w:rPr>
        <w:t xml:space="preserve">reg </w:t>
      </w:r>
      <w:r w:rsidRPr="007E4437">
        <w:rPr>
          <w:szCs w:val="18"/>
        </w:rPr>
        <w:t>5.3B.22.</w:t>
      </w:r>
    </w:p>
    <w:p w14:paraId="40C1001F" w14:textId="5E50742A" w:rsidR="005A44C1" w:rsidRPr="00713DA5" w:rsidRDefault="005A44C1" w:rsidP="00034F73">
      <w:pPr>
        <w:pStyle w:val="ListParagraph"/>
        <w:numPr>
          <w:ilvl w:val="0"/>
          <w:numId w:val="19"/>
        </w:numPr>
        <w:rPr>
          <w:szCs w:val="18"/>
        </w:rPr>
      </w:pPr>
      <w:r w:rsidRPr="00713DA5">
        <w:rPr>
          <w:szCs w:val="18"/>
        </w:rPr>
        <w:t xml:space="preserve">The practitioner must tell affected creditors who to give the above statements to, and </w:t>
      </w:r>
      <w:r w:rsidRPr="00725CCA">
        <w:rPr>
          <w:szCs w:val="18"/>
        </w:rPr>
        <w:t>that</w:t>
      </w:r>
      <w:r w:rsidR="0000354E" w:rsidRPr="00725CCA">
        <w:rPr>
          <w:szCs w:val="18"/>
        </w:rPr>
        <w:t xml:space="preserve"> </w:t>
      </w:r>
      <w:r w:rsidRPr="00DE2DD2">
        <w:rPr>
          <w:szCs w:val="18"/>
        </w:rPr>
        <w:t>the</w:t>
      </w:r>
      <w:r w:rsidRPr="00713DA5">
        <w:rPr>
          <w:szCs w:val="18"/>
        </w:rPr>
        <w:t xml:space="preserve"> statements need to be returned</w:t>
      </w:r>
      <w:r w:rsidR="00C15260">
        <w:rPr>
          <w:szCs w:val="18"/>
        </w:rPr>
        <w:t>.</w:t>
      </w:r>
      <w:r w:rsidR="003A4EF6" w:rsidRPr="00725CCA">
        <w:rPr>
          <w:szCs w:val="18"/>
        </w:rPr>
        <w:t xml:space="preserve"> This is</w:t>
      </w:r>
      <w:r w:rsidRPr="00DE2DD2">
        <w:rPr>
          <w:szCs w:val="18"/>
        </w:rPr>
        <w:t xml:space="preserve"> u</w:t>
      </w:r>
      <w:r w:rsidRPr="00713DA5">
        <w:rPr>
          <w:szCs w:val="18"/>
        </w:rPr>
        <w:t xml:space="preserve">sually before the end of 15 business days beginning on the day the restructuring practitioner gives the documents at </w:t>
      </w:r>
      <w:r w:rsidR="003A4EF6" w:rsidRPr="00713DA5">
        <w:rPr>
          <w:szCs w:val="18"/>
        </w:rPr>
        <w:t xml:space="preserve">paragraphs </w:t>
      </w:r>
      <w:r w:rsidR="003A4EF6" w:rsidRPr="00713DA5">
        <w:rPr>
          <w:szCs w:val="18"/>
        </w:rPr>
        <w:fldChar w:fldCharType="begin"/>
      </w:r>
      <w:r w:rsidR="003A4EF6" w:rsidRPr="00713DA5">
        <w:rPr>
          <w:szCs w:val="18"/>
        </w:rPr>
        <w:instrText xml:space="preserve"> REF _Ref181363415 \r \h </w:instrText>
      </w:r>
      <w:r w:rsidR="00526945">
        <w:rPr>
          <w:szCs w:val="18"/>
        </w:rPr>
        <w:instrText xml:space="preserve"> \* MERGEFORMAT </w:instrText>
      </w:r>
      <w:r w:rsidR="003A4EF6" w:rsidRPr="00713DA5">
        <w:rPr>
          <w:szCs w:val="18"/>
        </w:rPr>
      </w:r>
      <w:r w:rsidR="003A4EF6" w:rsidRPr="00713DA5">
        <w:rPr>
          <w:szCs w:val="18"/>
        </w:rPr>
        <w:fldChar w:fldCharType="separate"/>
      </w:r>
      <w:r w:rsidR="00FF69BD">
        <w:rPr>
          <w:szCs w:val="18"/>
        </w:rPr>
        <w:t>1(a)</w:t>
      </w:r>
      <w:r w:rsidR="003A4EF6" w:rsidRPr="00713DA5">
        <w:rPr>
          <w:szCs w:val="18"/>
        </w:rPr>
        <w:fldChar w:fldCharType="end"/>
      </w:r>
      <w:r w:rsidR="003A4EF6" w:rsidRPr="00713DA5">
        <w:rPr>
          <w:szCs w:val="18"/>
        </w:rPr>
        <w:t>–</w:t>
      </w:r>
      <w:r w:rsidR="003A4EF6" w:rsidRPr="00713DA5">
        <w:rPr>
          <w:szCs w:val="18"/>
        </w:rPr>
        <w:fldChar w:fldCharType="begin"/>
      </w:r>
      <w:r w:rsidR="003A4EF6" w:rsidRPr="00713DA5">
        <w:rPr>
          <w:szCs w:val="18"/>
        </w:rPr>
        <w:instrText xml:space="preserve"> REF _Ref181363417 \r \h </w:instrText>
      </w:r>
      <w:r w:rsidR="00526945">
        <w:rPr>
          <w:szCs w:val="18"/>
        </w:rPr>
        <w:instrText xml:space="preserve"> \* MERGEFORMAT </w:instrText>
      </w:r>
      <w:r w:rsidR="003A4EF6" w:rsidRPr="00713DA5">
        <w:rPr>
          <w:szCs w:val="18"/>
        </w:rPr>
      </w:r>
      <w:r w:rsidR="003A4EF6" w:rsidRPr="00713DA5">
        <w:rPr>
          <w:szCs w:val="18"/>
        </w:rPr>
        <w:fldChar w:fldCharType="separate"/>
      </w:r>
      <w:r w:rsidR="00FF69BD">
        <w:rPr>
          <w:szCs w:val="18"/>
        </w:rPr>
        <w:t>1(d)</w:t>
      </w:r>
      <w:r w:rsidR="003A4EF6" w:rsidRPr="00713DA5">
        <w:rPr>
          <w:szCs w:val="18"/>
        </w:rPr>
        <w:fldChar w:fldCharType="end"/>
      </w:r>
      <w:r w:rsidRPr="00713DA5">
        <w:rPr>
          <w:szCs w:val="18"/>
        </w:rPr>
        <w:t xml:space="preserve"> (acceptance period). The acceptance period may be longer</w:t>
      </w:r>
      <w:r w:rsidR="00F22AE1">
        <w:rPr>
          <w:szCs w:val="18"/>
        </w:rPr>
        <w:t xml:space="preserve"> than </w:t>
      </w:r>
      <w:r w:rsidR="00F22AE1" w:rsidRPr="00713DA5">
        <w:rPr>
          <w:szCs w:val="18"/>
        </w:rPr>
        <w:t>15 business days</w:t>
      </w:r>
      <w:r w:rsidRPr="00713DA5">
        <w:rPr>
          <w:szCs w:val="18"/>
        </w:rPr>
        <w:t xml:space="preserve"> in circumstances where affected creditors disagree with the schedule of debts and claims in the restructuring proposal statement. </w:t>
      </w:r>
    </w:p>
    <w:p w14:paraId="472E80D3" w14:textId="139895EE" w:rsidR="005A44C1" w:rsidRPr="00713DA5" w:rsidRDefault="005A44C1" w:rsidP="00034F73">
      <w:pPr>
        <w:pStyle w:val="ListParagraph"/>
        <w:numPr>
          <w:ilvl w:val="0"/>
          <w:numId w:val="19"/>
        </w:numPr>
        <w:rPr>
          <w:szCs w:val="18"/>
        </w:rPr>
      </w:pPr>
      <w:r w:rsidRPr="00713DA5">
        <w:rPr>
          <w:szCs w:val="18"/>
        </w:rPr>
        <w:t xml:space="preserve">A plan is accepted if, at the end of the acceptance period, the majority in value of affected creditors who returned statements to the practitioner stated that the plan should be accepted. Regulation 5.3B.25 provides for calculation of the value of an affected creditor. </w:t>
      </w:r>
    </w:p>
    <w:p w14:paraId="5E10F724" w14:textId="27EBD578" w:rsidR="005A44C1" w:rsidRPr="00713DA5" w:rsidRDefault="005A44C1" w:rsidP="00034F73">
      <w:pPr>
        <w:pStyle w:val="ListParagraph"/>
        <w:numPr>
          <w:ilvl w:val="0"/>
          <w:numId w:val="19"/>
        </w:numPr>
        <w:rPr>
          <w:szCs w:val="18"/>
        </w:rPr>
      </w:pPr>
      <w:r w:rsidRPr="00713DA5">
        <w:rPr>
          <w:szCs w:val="18"/>
        </w:rPr>
        <w:t>The plan is then taken to have be</w:t>
      </w:r>
      <w:r w:rsidR="00346FD3">
        <w:rPr>
          <w:szCs w:val="18"/>
        </w:rPr>
        <w:t>en</w:t>
      </w:r>
      <w:r w:rsidRPr="00713DA5">
        <w:rPr>
          <w:szCs w:val="18"/>
        </w:rPr>
        <w:t xml:space="preserve"> made on the day after the end of the acceptance period or on the day that a specified event (according to the plan) has occurred.</w:t>
      </w:r>
    </w:p>
    <w:p w14:paraId="4BE60DC6" w14:textId="77777777" w:rsidR="005A44C1" w:rsidRPr="007E4437" w:rsidRDefault="005A44C1" w:rsidP="00034F73">
      <w:pPr>
        <w:pStyle w:val="Heading4"/>
      </w:pPr>
      <w:r w:rsidRPr="00063504">
        <w:t>Who is bound by the plan if it is accepted?</w:t>
      </w:r>
      <w:r w:rsidRPr="007E4437">
        <w:rPr>
          <w:b w:val="0"/>
        </w:rPr>
        <w:t xml:space="preserve"> </w:t>
      </w:r>
    </w:p>
    <w:p w14:paraId="53AB3BC5" w14:textId="77777777" w:rsidR="005A44C1" w:rsidRPr="00713DA5" w:rsidRDefault="005A44C1" w:rsidP="00034F73">
      <w:pPr>
        <w:pStyle w:val="ListParagraph"/>
        <w:numPr>
          <w:ilvl w:val="0"/>
          <w:numId w:val="19"/>
        </w:numPr>
        <w:rPr>
          <w:szCs w:val="18"/>
        </w:rPr>
      </w:pPr>
      <w:r w:rsidRPr="00713DA5">
        <w:rPr>
          <w:szCs w:val="18"/>
        </w:rPr>
        <w:t>A plan that is made is binding on:</w:t>
      </w:r>
    </w:p>
    <w:p w14:paraId="6B20E269" w14:textId="5FBC75D5" w:rsidR="005A44C1" w:rsidRPr="007E4437" w:rsidRDefault="005A44C1" w:rsidP="00034F73">
      <w:pPr>
        <w:pStyle w:val="ListParagraph"/>
        <w:numPr>
          <w:ilvl w:val="1"/>
          <w:numId w:val="26"/>
        </w:numPr>
        <w:rPr>
          <w:szCs w:val="18"/>
        </w:rPr>
      </w:pPr>
      <w:r w:rsidRPr="007E4437">
        <w:rPr>
          <w:szCs w:val="18"/>
        </w:rPr>
        <w:t xml:space="preserve">the company; </w:t>
      </w:r>
    </w:p>
    <w:p w14:paraId="679ABAEC" w14:textId="7904C55C" w:rsidR="005A44C1" w:rsidRPr="007E4437" w:rsidRDefault="005A44C1" w:rsidP="00034F73">
      <w:pPr>
        <w:pStyle w:val="ListParagraph"/>
        <w:numPr>
          <w:ilvl w:val="1"/>
          <w:numId w:val="26"/>
        </w:numPr>
        <w:rPr>
          <w:szCs w:val="18"/>
        </w:rPr>
      </w:pPr>
      <w:r w:rsidRPr="007E4437">
        <w:rPr>
          <w:szCs w:val="18"/>
        </w:rPr>
        <w:t>the company</w:t>
      </w:r>
      <w:r w:rsidR="009A299E">
        <w:rPr>
          <w:szCs w:val="18"/>
        </w:rPr>
        <w:t>’</w:t>
      </w:r>
      <w:r w:rsidRPr="007E4437">
        <w:rPr>
          <w:szCs w:val="18"/>
        </w:rPr>
        <w:t xml:space="preserve">s officers and members; </w:t>
      </w:r>
    </w:p>
    <w:p w14:paraId="3601D56A" w14:textId="2A955259" w:rsidR="005A44C1" w:rsidRPr="007E4437" w:rsidRDefault="005A44C1" w:rsidP="00034F73">
      <w:pPr>
        <w:pStyle w:val="ListParagraph"/>
        <w:numPr>
          <w:ilvl w:val="1"/>
          <w:numId w:val="26"/>
        </w:numPr>
        <w:rPr>
          <w:szCs w:val="18"/>
        </w:rPr>
      </w:pPr>
      <w:r w:rsidRPr="007E4437">
        <w:rPr>
          <w:szCs w:val="18"/>
        </w:rPr>
        <w:t>the restructuring practitioner for the plan; and</w:t>
      </w:r>
    </w:p>
    <w:p w14:paraId="7F6509A3" w14:textId="0853202A" w:rsidR="005A44C1" w:rsidRPr="007E4437" w:rsidRDefault="005A44C1" w:rsidP="00034F73">
      <w:pPr>
        <w:pStyle w:val="ListParagraph"/>
        <w:numPr>
          <w:ilvl w:val="1"/>
          <w:numId w:val="26"/>
        </w:numPr>
        <w:rPr>
          <w:szCs w:val="18"/>
        </w:rPr>
      </w:pPr>
      <w:r w:rsidRPr="007E4437">
        <w:rPr>
          <w:szCs w:val="18"/>
        </w:rPr>
        <w:t xml:space="preserve">subject to </w:t>
      </w:r>
      <w:r w:rsidR="00A97BDD">
        <w:rPr>
          <w:szCs w:val="18"/>
        </w:rPr>
        <w:t xml:space="preserve">paragraphs </w:t>
      </w:r>
      <w:r w:rsidR="00686109">
        <w:rPr>
          <w:szCs w:val="18"/>
        </w:rPr>
        <w:fldChar w:fldCharType="begin"/>
      </w:r>
      <w:r w:rsidR="00686109">
        <w:rPr>
          <w:szCs w:val="18"/>
        </w:rPr>
        <w:instrText xml:space="preserve"> REF _Ref181363700 \r \h </w:instrText>
      </w:r>
      <w:r w:rsidR="00686109">
        <w:rPr>
          <w:szCs w:val="18"/>
        </w:rPr>
      </w:r>
      <w:r w:rsidR="00686109">
        <w:rPr>
          <w:szCs w:val="18"/>
        </w:rPr>
        <w:fldChar w:fldCharType="separate"/>
      </w:r>
      <w:r w:rsidR="001920D2">
        <w:rPr>
          <w:szCs w:val="18"/>
        </w:rPr>
        <w:t>7</w:t>
      </w:r>
      <w:r w:rsidR="00686109">
        <w:rPr>
          <w:szCs w:val="18"/>
        </w:rPr>
        <w:fldChar w:fldCharType="end"/>
      </w:r>
      <w:r w:rsidRPr="007E4437">
        <w:rPr>
          <w:szCs w:val="18"/>
        </w:rPr>
        <w:t xml:space="preserve"> and </w:t>
      </w:r>
      <w:r w:rsidR="00686109">
        <w:rPr>
          <w:szCs w:val="18"/>
        </w:rPr>
        <w:fldChar w:fldCharType="begin"/>
      </w:r>
      <w:r w:rsidR="00686109">
        <w:rPr>
          <w:szCs w:val="18"/>
        </w:rPr>
        <w:instrText xml:space="preserve"> REF _Ref181363706 \r \h </w:instrText>
      </w:r>
      <w:r w:rsidR="00686109">
        <w:rPr>
          <w:szCs w:val="18"/>
        </w:rPr>
      </w:r>
      <w:r w:rsidR="00686109">
        <w:rPr>
          <w:szCs w:val="18"/>
        </w:rPr>
        <w:fldChar w:fldCharType="separate"/>
      </w:r>
      <w:r w:rsidR="001920D2">
        <w:rPr>
          <w:szCs w:val="18"/>
        </w:rPr>
        <w:t>8</w:t>
      </w:r>
      <w:r w:rsidR="00686109">
        <w:rPr>
          <w:szCs w:val="18"/>
        </w:rPr>
        <w:fldChar w:fldCharType="end"/>
      </w:r>
      <w:r w:rsidRPr="007E4437">
        <w:rPr>
          <w:szCs w:val="18"/>
        </w:rPr>
        <w:t xml:space="preserve"> (specific provisions about secured creditors)</w:t>
      </w:r>
      <w:r w:rsidR="009F395E">
        <w:rPr>
          <w:szCs w:val="18"/>
        </w:rPr>
        <w:t>—</w:t>
      </w:r>
      <w:r w:rsidRPr="007E4437">
        <w:rPr>
          <w:szCs w:val="18"/>
        </w:rPr>
        <w:t>a creditor of the company to the extent that the creditor has an admissible debt or claim in relation to the plan</w:t>
      </w:r>
      <w:r w:rsidR="00686109">
        <w:rPr>
          <w:szCs w:val="18"/>
        </w:rPr>
        <w:t>.</w:t>
      </w:r>
    </w:p>
    <w:p w14:paraId="622FB304" w14:textId="7805A699" w:rsidR="005A44C1" w:rsidRPr="007E4437" w:rsidRDefault="00686109" w:rsidP="00034F73">
      <w:pPr>
        <w:pStyle w:val="ListParagraph"/>
        <w:numPr>
          <w:ilvl w:val="0"/>
          <w:numId w:val="19"/>
        </w:numPr>
        <w:rPr>
          <w:szCs w:val="18"/>
        </w:rPr>
      </w:pPr>
      <w:bookmarkStart w:id="5" w:name="_Ref181363700"/>
      <w:r>
        <w:rPr>
          <w:szCs w:val="18"/>
        </w:rPr>
        <w:t>T</w:t>
      </w:r>
      <w:r w:rsidR="005A44C1" w:rsidRPr="007E4437">
        <w:rPr>
          <w:szCs w:val="18"/>
        </w:rPr>
        <w:t xml:space="preserve">he plan is binding on a secured creditor (including an owner or lessor of </w:t>
      </w:r>
      <w:r w:rsidR="00097F86" w:rsidRPr="00034F73">
        <w:rPr>
          <w:i/>
          <w:iCs/>
          <w:szCs w:val="18"/>
        </w:rPr>
        <w:t>Personal Property Securities Act 2009</w:t>
      </w:r>
      <w:r w:rsidR="00097F86" w:rsidRPr="00097F86">
        <w:rPr>
          <w:szCs w:val="18"/>
        </w:rPr>
        <w:t xml:space="preserve"> </w:t>
      </w:r>
      <w:r w:rsidR="00097F86">
        <w:rPr>
          <w:szCs w:val="18"/>
        </w:rPr>
        <w:t>(</w:t>
      </w:r>
      <w:r w:rsidR="005A44C1" w:rsidRPr="007E4437">
        <w:rPr>
          <w:szCs w:val="18"/>
        </w:rPr>
        <w:t>PPSA</w:t>
      </w:r>
      <w:r w:rsidR="00097F86">
        <w:rPr>
          <w:szCs w:val="18"/>
        </w:rPr>
        <w:t>)</w:t>
      </w:r>
      <w:r w:rsidR="005A44C1" w:rsidRPr="007E4437">
        <w:rPr>
          <w:szCs w:val="18"/>
        </w:rPr>
        <w:t xml:space="preserve"> retention of title property of the company):</w:t>
      </w:r>
      <w:bookmarkEnd w:id="5"/>
    </w:p>
    <w:p w14:paraId="5AF38395" w14:textId="698A4065" w:rsidR="005A44C1" w:rsidRPr="007E4437" w:rsidRDefault="005A44C1" w:rsidP="00034F73">
      <w:pPr>
        <w:pStyle w:val="ListParagraph"/>
        <w:numPr>
          <w:ilvl w:val="1"/>
          <w:numId w:val="27"/>
        </w:numPr>
        <w:rPr>
          <w:szCs w:val="18"/>
        </w:rPr>
      </w:pPr>
      <w:r w:rsidRPr="007E4437">
        <w:rPr>
          <w:szCs w:val="18"/>
        </w:rPr>
        <w:t>if the value of the creditor</w:t>
      </w:r>
      <w:r w:rsidR="009A299E">
        <w:rPr>
          <w:szCs w:val="18"/>
        </w:rPr>
        <w:t>’</w:t>
      </w:r>
      <w:r w:rsidRPr="007E4437">
        <w:rPr>
          <w:szCs w:val="18"/>
        </w:rPr>
        <w:t>s security interest is less than the value of the creditor</w:t>
      </w:r>
      <w:r w:rsidR="009A299E">
        <w:rPr>
          <w:szCs w:val="18"/>
        </w:rPr>
        <w:t>’</w:t>
      </w:r>
      <w:r w:rsidRPr="007E4437">
        <w:rPr>
          <w:szCs w:val="18"/>
        </w:rPr>
        <w:t>s admissible debts or claims—only to the extent of the difference between the values; and</w:t>
      </w:r>
    </w:p>
    <w:p w14:paraId="4B0BD0E2" w14:textId="41B7DC10" w:rsidR="005A44C1" w:rsidRPr="007E4437" w:rsidRDefault="005A44C1" w:rsidP="00034F73">
      <w:pPr>
        <w:pStyle w:val="ListParagraph"/>
        <w:numPr>
          <w:ilvl w:val="1"/>
          <w:numId w:val="27"/>
        </w:numPr>
        <w:rPr>
          <w:szCs w:val="18"/>
        </w:rPr>
      </w:pPr>
      <w:r w:rsidRPr="007E4437">
        <w:rPr>
          <w:szCs w:val="18"/>
        </w:rPr>
        <w:lastRenderedPageBreak/>
        <w:t>if the value of the creditor</w:t>
      </w:r>
      <w:r w:rsidR="009A299E">
        <w:rPr>
          <w:szCs w:val="18"/>
        </w:rPr>
        <w:t>’</w:t>
      </w:r>
      <w:r w:rsidRPr="007E4437">
        <w:rPr>
          <w:szCs w:val="18"/>
        </w:rPr>
        <w:t>s security interest is equal to or more than the value of the creditor</w:t>
      </w:r>
      <w:r w:rsidR="009A299E">
        <w:rPr>
          <w:szCs w:val="18"/>
        </w:rPr>
        <w:t>’</w:t>
      </w:r>
      <w:r w:rsidRPr="007E4437">
        <w:rPr>
          <w:szCs w:val="18"/>
        </w:rPr>
        <w:t>s admissible debts or claims—only to the extent that the creditor consents to be bound by the plan.</w:t>
      </w:r>
    </w:p>
    <w:p w14:paraId="1F593B35" w14:textId="5EDF2CD9" w:rsidR="005A44C1" w:rsidRPr="007E4437" w:rsidRDefault="005A44C1" w:rsidP="00034F73">
      <w:pPr>
        <w:pStyle w:val="ListParagraph"/>
        <w:numPr>
          <w:ilvl w:val="0"/>
          <w:numId w:val="19"/>
        </w:numPr>
        <w:rPr>
          <w:szCs w:val="18"/>
        </w:rPr>
      </w:pPr>
      <w:bookmarkStart w:id="6" w:name="_Ref181363706"/>
      <w:r w:rsidRPr="007E4437">
        <w:rPr>
          <w:szCs w:val="18"/>
        </w:rPr>
        <w:t>The fact that a restructuring plan has been made does not prevent a secured creditor from realising or otherwise dealing with the security interest, unless:</w:t>
      </w:r>
      <w:bookmarkEnd w:id="6"/>
    </w:p>
    <w:p w14:paraId="3D411035" w14:textId="77777777" w:rsidR="005A44C1" w:rsidRPr="007E4437" w:rsidRDefault="005A44C1" w:rsidP="00034F73">
      <w:pPr>
        <w:pStyle w:val="ListParagraph"/>
        <w:numPr>
          <w:ilvl w:val="1"/>
          <w:numId w:val="25"/>
        </w:numPr>
        <w:rPr>
          <w:szCs w:val="18"/>
        </w:rPr>
      </w:pPr>
      <w:r w:rsidRPr="007E4437">
        <w:rPr>
          <w:szCs w:val="18"/>
        </w:rPr>
        <w:t>the secured creditor accepted the proposal to make the plan and the plan prevents the secured creditor from doing so; or</w:t>
      </w:r>
    </w:p>
    <w:p w14:paraId="0417A4B0" w14:textId="7A3666BB" w:rsidR="005A44C1" w:rsidRPr="007E4437" w:rsidRDefault="005A44C1" w:rsidP="00034F73">
      <w:pPr>
        <w:pStyle w:val="ListParagraph"/>
        <w:numPr>
          <w:ilvl w:val="1"/>
          <w:numId w:val="25"/>
        </w:numPr>
        <w:rPr>
          <w:szCs w:val="18"/>
        </w:rPr>
      </w:pPr>
      <w:r w:rsidRPr="007E4437">
        <w:rPr>
          <w:szCs w:val="18"/>
        </w:rPr>
        <w:t xml:space="preserve">the </w:t>
      </w:r>
      <w:r w:rsidR="00BC3ECF">
        <w:rPr>
          <w:szCs w:val="18"/>
        </w:rPr>
        <w:t>c</w:t>
      </w:r>
      <w:r w:rsidRPr="007E4437">
        <w:rPr>
          <w:szCs w:val="18"/>
        </w:rPr>
        <w:t>ourt so orders.</w:t>
      </w:r>
    </w:p>
    <w:p w14:paraId="1A15A8D7" w14:textId="77777777" w:rsidR="005A44C1" w:rsidRPr="007E4437" w:rsidRDefault="005A44C1" w:rsidP="00034F73">
      <w:pPr>
        <w:pStyle w:val="ListParagraph"/>
        <w:numPr>
          <w:ilvl w:val="0"/>
          <w:numId w:val="19"/>
        </w:numPr>
        <w:rPr>
          <w:szCs w:val="18"/>
        </w:rPr>
      </w:pPr>
      <w:r w:rsidRPr="007E4437">
        <w:rPr>
          <w:szCs w:val="18"/>
        </w:rPr>
        <w:t>The fact that a restructuring plan has been made does not affect a right that an owner or lessor of property (other than an owner or lessor of PPSA retention of title property of the company) has in relation to that property, unless:</w:t>
      </w:r>
    </w:p>
    <w:p w14:paraId="4BFAFCB9" w14:textId="77777777" w:rsidR="005A44C1" w:rsidRPr="007E4437" w:rsidRDefault="005A44C1" w:rsidP="00034F73">
      <w:pPr>
        <w:pStyle w:val="ListParagraph"/>
        <w:numPr>
          <w:ilvl w:val="1"/>
          <w:numId w:val="19"/>
        </w:numPr>
        <w:rPr>
          <w:szCs w:val="18"/>
        </w:rPr>
      </w:pPr>
      <w:r w:rsidRPr="007E4437">
        <w:rPr>
          <w:szCs w:val="18"/>
        </w:rPr>
        <w:t>the owner or lessor accepted the proposal to make the plan and the plan affects that right; or</w:t>
      </w:r>
    </w:p>
    <w:p w14:paraId="76BE1D05" w14:textId="14101975" w:rsidR="005A44C1" w:rsidRPr="007E4437" w:rsidRDefault="005A44C1" w:rsidP="00034F73">
      <w:pPr>
        <w:pStyle w:val="ListParagraph"/>
        <w:numPr>
          <w:ilvl w:val="1"/>
          <w:numId w:val="19"/>
        </w:numPr>
        <w:rPr>
          <w:szCs w:val="18"/>
        </w:rPr>
      </w:pPr>
      <w:r w:rsidRPr="007E4437">
        <w:rPr>
          <w:szCs w:val="18"/>
        </w:rPr>
        <w:t xml:space="preserve">the </w:t>
      </w:r>
      <w:r w:rsidR="00BC3ECF">
        <w:rPr>
          <w:szCs w:val="18"/>
        </w:rPr>
        <w:t>c</w:t>
      </w:r>
      <w:r w:rsidRPr="007E4437">
        <w:rPr>
          <w:szCs w:val="18"/>
        </w:rPr>
        <w:t>ourt so orders.</w:t>
      </w:r>
    </w:p>
    <w:p w14:paraId="766C4485" w14:textId="77777777" w:rsidR="005A44C1" w:rsidRPr="007E4437" w:rsidRDefault="005A44C1" w:rsidP="005A44C1">
      <w:pPr>
        <w:pStyle w:val="Heading3"/>
        <w:rPr>
          <w:szCs w:val="20"/>
        </w:rPr>
      </w:pPr>
      <w:r w:rsidRPr="007E4437">
        <w:rPr>
          <w:szCs w:val="20"/>
        </w:rPr>
        <w:t xml:space="preserve">Effect on rights of a person bound by the plan </w:t>
      </w:r>
    </w:p>
    <w:p w14:paraId="328D9E53" w14:textId="77777777" w:rsidR="005A44C1" w:rsidRPr="007E4437" w:rsidRDefault="005A44C1" w:rsidP="00034F73">
      <w:pPr>
        <w:pStyle w:val="ListParagraph"/>
        <w:numPr>
          <w:ilvl w:val="0"/>
          <w:numId w:val="19"/>
        </w:numPr>
        <w:rPr>
          <w:szCs w:val="18"/>
        </w:rPr>
      </w:pPr>
      <w:r w:rsidRPr="007E4437">
        <w:rPr>
          <w:szCs w:val="18"/>
        </w:rPr>
        <w:t>Until a restructuring plan terminates, a person bound by the plan cannot:</w:t>
      </w:r>
    </w:p>
    <w:p w14:paraId="7DFFA14D" w14:textId="77777777" w:rsidR="005A44C1" w:rsidRPr="007E4437" w:rsidRDefault="005A44C1" w:rsidP="00034F73">
      <w:pPr>
        <w:pStyle w:val="ListParagraph"/>
        <w:numPr>
          <w:ilvl w:val="1"/>
          <w:numId w:val="19"/>
        </w:numPr>
        <w:rPr>
          <w:szCs w:val="18"/>
        </w:rPr>
      </w:pPr>
      <w:r w:rsidRPr="007E4437">
        <w:rPr>
          <w:szCs w:val="18"/>
        </w:rPr>
        <w:t>make an application for an order to wind up the company on the basis of an admissible debt or claim; or</w:t>
      </w:r>
    </w:p>
    <w:p w14:paraId="52DC0E4B" w14:textId="77777777" w:rsidR="005A44C1" w:rsidRPr="007E4437" w:rsidRDefault="005A44C1" w:rsidP="00034F73">
      <w:pPr>
        <w:pStyle w:val="ListParagraph"/>
        <w:numPr>
          <w:ilvl w:val="1"/>
          <w:numId w:val="19"/>
        </w:numPr>
        <w:rPr>
          <w:szCs w:val="18"/>
        </w:rPr>
      </w:pPr>
      <w:r w:rsidRPr="007E4437">
        <w:rPr>
          <w:szCs w:val="18"/>
        </w:rPr>
        <w:t>proceed with such an application made before the plan became binding on the person.</w:t>
      </w:r>
    </w:p>
    <w:p w14:paraId="5F1D2EE2" w14:textId="6EEA08CE" w:rsidR="005A44C1" w:rsidRPr="007E4437" w:rsidRDefault="005A44C1" w:rsidP="00034F73">
      <w:pPr>
        <w:pStyle w:val="ListParagraph"/>
        <w:numPr>
          <w:ilvl w:val="0"/>
          <w:numId w:val="19"/>
        </w:numPr>
        <w:rPr>
          <w:szCs w:val="18"/>
        </w:rPr>
      </w:pPr>
      <w:r w:rsidRPr="007E4437">
        <w:rPr>
          <w:szCs w:val="18"/>
        </w:rPr>
        <w:t>A person bound by the plan cannot</w:t>
      </w:r>
      <w:r w:rsidR="00C01F2B">
        <w:rPr>
          <w:szCs w:val="18"/>
        </w:rPr>
        <w:t xml:space="preserve"> begin or proceed with</w:t>
      </w:r>
      <w:r w:rsidRPr="007E4437">
        <w:rPr>
          <w:szCs w:val="18"/>
        </w:rPr>
        <w:t>:</w:t>
      </w:r>
    </w:p>
    <w:p w14:paraId="7D9C738F" w14:textId="48AD6B5B" w:rsidR="005A44C1" w:rsidRPr="007E4437" w:rsidRDefault="005A44C1" w:rsidP="00034F73">
      <w:pPr>
        <w:pStyle w:val="ListParagraph"/>
        <w:numPr>
          <w:ilvl w:val="1"/>
          <w:numId w:val="19"/>
        </w:numPr>
        <w:rPr>
          <w:szCs w:val="18"/>
        </w:rPr>
      </w:pPr>
      <w:r w:rsidRPr="007E4437">
        <w:rPr>
          <w:szCs w:val="18"/>
        </w:rPr>
        <w:t>a proceeding against the company or in relation to any of its property to recover an admissible debt or claim; or</w:t>
      </w:r>
    </w:p>
    <w:p w14:paraId="760A1E85" w14:textId="4DC90A76" w:rsidR="005A44C1" w:rsidRPr="007E4437" w:rsidRDefault="005A44C1" w:rsidP="00034F73">
      <w:pPr>
        <w:pStyle w:val="ListParagraph"/>
        <w:numPr>
          <w:ilvl w:val="1"/>
          <w:numId w:val="19"/>
        </w:numPr>
        <w:rPr>
          <w:szCs w:val="18"/>
        </w:rPr>
      </w:pPr>
      <w:r w:rsidRPr="007E4437">
        <w:rPr>
          <w:szCs w:val="18"/>
        </w:rPr>
        <w:t>an enforcement process in relation to property of the company to recover an admissible debt or claim</w:t>
      </w:r>
      <w:r w:rsidR="00C01F2B">
        <w:rPr>
          <w:szCs w:val="18"/>
        </w:rPr>
        <w:t>.</w:t>
      </w:r>
    </w:p>
    <w:p w14:paraId="7D41D1F8" w14:textId="2752BB84" w:rsidR="005A44C1" w:rsidRPr="007E4437" w:rsidRDefault="00C01F2B" w:rsidP="00034F73">
      <w:pPr>
        <w:pStyle w:val="ListParagraph"/>
        <w:numPr>
          <w:ilvl w:val="0"/>
          <w:numId w:val="19"/>
        </w:numPr>
        <w:rPr>
          <w:szCs w:val="18"/>
        </w:rPr>
      </w:pPr>
      <w:r>
        <w:rPr>
          <w:szCs w:val="18"/>
        </w:rPr>
        <w:t xml:space="preserve">The </w:t>
      </w:r>
      <w:r w:rsidR="005A44C1" w:rsidRPr="007E4437">
        <w:rPr>
          <w:szCs w:val="18"/>
        </w:rPr>
        <w:t>except</w:t>
      </w:r>
      <w:r>
        <w:rPr>
          <w:szCs w:val="18"/>
        </w:rPr>
        <w:t>ion to this is if the person</w:t>
      </w:r>
      <w:r w:rsidR="005A44C1" w:rsidRPr="007E4437">
        <w:rPr>
          <w:szCs w:val="18"/>
        </w:rPr>
        <w:t>:</w:t>
      </w:r>
    </w:p>
    <w:p w14:paraId="61210875" w14:textId="73708A80" w:rsidR="005A44C1" w:rsidRPr="007E4437" w:rsidRDefault="00C01F2B" w:rsidP="00034F73">
      <w:pPr>
        <w:pStyle w:val="ListParagraph"/>
        <w:numPr>
          <w:ilvl w:val="1"/>
          <w:numId w:val="19"/>
        </w:numPr>
        <w:rPr>
          <w:szCs w:val="18"/>
        </w:rPr>
      </w:pPr>
      <w:r>
        <w:rPr>
          <w:szCs w:val="18"/>
        </w:rPr>
        <w:t>has</w:t>
      </w:r>
      <w:r w:rsidR="005A44C1" w:rsidRPr="007E4437">
        <w:rPr>
          <w:szCs w:val="18"/>
        </w:rPr>
        <w:t xml:space="preserve"> the leave of the </w:t>
      </w:r>
      <w:r>
        <w:rPr>
          <w:szCs w:val="18"/>
        </w:rPr>
        <w:t>c</w:t>
      </w:r>
      <w:r w:rsidR="005A44C1" w:rsidRPr="007E4437">
        <w:rPr>
          <w:szCs w:val="18"/>
        </w:rPr>
        <w:t>ourt; and</w:t>
      </w:r>
    </w:p>
    <w:p w14:paraId="4B4E69F6" w14:textId="3F7E4071" w:rsidR="005A44C1" w:rsidRPr="007E4437" w:rsidRDefault="00C01F2B" w:rsidP="00034F73">
      <w:pPr>
        <w:pStyle w:val="ListParagraph"/>
        <w:numPr>
          <w:ilvl w:val="1"/>
          <w:numId w:val="19"/>
        </w:numPr>
        <w:rPr>
          <w:szCs w:val="18"/>
        </w:rPr>
      </w:pPr>
      <w:r>
        <w:rPr>
          <w:szCs w:val="18"/>
        </w:rPr>
        <w:t xml:space="preserve">acts </w:t>
      </w:r>
      <w:r w:rsidR="005A44C1" w:rsidRPr="007E4437">
        <w:rPr>
          <w:szCs w:val="18"/>
        </w:rPr>
        <w:t xml:space="preserve">in accordance with such terms (if any) as the </w:t>
      </w:r>
      <w:r>
        <w:rPr>
          <w:szCs w:val="18"/>
        </w:rPr>
        <w:t>c</w:t>
      </w:r>
      <w:r w:rsidR="005A44C1" w:rsidRPr="007E4437">
        <w:rPr>
          <w:szCs w:val="18"/>
        </w:rPr>
        <w:t>ourt imposes</w:t>
      </w:r>
      <w:r>
        <w:rPr>
          <w:szCs w:val="18"/>
        </w:rPr>
        <w:t>.</w:t>
      </w:r>
    </w:p>
    <w:p w14:paraId="1A43ED11" w14:textId="77777777" w:rsidR="005A44C1" w:rsidRPr="007E4437" w:rsidRDefault="005A44C1" w:rsidP="005A44C1">
      <w:pPr>
        <w:pStyle w:val="Heading3"/>
        <w:rPr>
          <w:szCs w:val="20"/>
        </w:rPr>
      </w:pPr>
      <w:r w:rsidRPr="007E4437">
        <w:rPr>
          <w:szCs w:val="20"/>
        </w:rPr>
        <w:t xml:space="preserve">Effect on creditors if the terms of plan are fully satisfied </w:t>
      </w:r>
    </w:p>
    <w:p w14:paraId="3AEA71D4" w14:textId="697B1746" w:rsidR="005A44C1" w:rsidRPr="007E4437" w:rsidRDefault="00636409" w:rsidP="00034F73">
      <w:pPr>
        <w:pStyle w:val="ListParagraph"/>
        <w:numPr>
          <w:ilvl w:val="0"/>
          <w:numId w:val="19"/>
        </w:numPr>
        <w:rPr>
          <w:szCs w:val="18"/>
        </w:rPr>
      </w:pPr>
      <w:bookmarkStart w:id="7" w:name="_Ref181364720"/>
      <w:r>
        <w:rPr>
          <w:szCs w:val="18"/>
        </w:rPr>
        <w:t>T</w:t>
      </w:r>
      <w:r w:rsidRPr="007E4437">
        <w:rPr>
          <w:szCs w:val="18"/>
        </w:rPr>
        <w:t>he restructuring plan terminates on the day on which</w:t>
      </w:r>
      <w:r w:rsidRPr="007E4437" w:rsidDel="00636409">
        <w:rPr>
          <w:szCs w:val="18"/>
        </w:rPr>
        <w:t xml:space="preserve"> </w:t>
      </w:r>
      <w:r w:rsidR="005A44C1" w:rsidRPr="007E4437">
        <w:rPr>
          <w:szCs w:val="18"/>
        </w:rPr>
        <w:t>all of the following conditions are satisfied:</w:t>
      </w:r>
      <w:bookmarkEnd w:id="7"/>
    </w:p>
    <w:p w14:paraId="4F1DA4E3" w14:textId="2EE56AED" w:rsidR="005A44C1" w:rsidRPr="007E4437" w:rsidRDefault="005A44C1" w:rsidP="00034F73">
      <w:pPr>
        <w:pStyle w:val="ListParagraph"/>
        <w:numPr>
          <w:ilvl w:val="1"/>
          <w:numId w:val="19"/>
        </w:numPr>
        <w:rPr>
          <w:szCs w:val="18"/>
        </w:rPr>
      </w:pPr>
      <w:r w:rsidRPr="007E4437">
        <w:rPr>
          <w:szCs w:val="18"/>
        </w:rPr>
        <w:t>the company</w:t>
      </w:r>
      <w:r w:rsidR="009A299E">
        <w:rPr>
          <w:szCs w:val="18"/>
        </w:rPr>
        <w:t>’</w:t>
      </w:r>
      <w:r w:rsidRPr="007E4437">
        <w:rPr>
          <w:szCs w:val="18"/>
        </w:rPr>
        <w:t>s obligations under the plan have been fulfilled;</w:t>
      </w:r>
    </w:p>
    <w:p w14:paraId="3F4B6E42" w14:textId="297E6A80" w:rsidR="005A44C1" w:rsidRPr="007E4437" w:rsidRDefault="005A44C1" w:rsidP="00034F73">
      <w:pPr>
        <w:pStyle w:val="ListParagraph"/>
        <w:numPr>
          <w:ilvl w:val="1"/>
          <w:numId w:val="19"/>
        </w:numPr>
        <w:rPr>
          <w:szCs w:val="18"/>
        </w:rPr>
      </w:pPr>
      <w:r w:rsidRPr="007E4437">
        <w:rPr>
          <w:szCs w:val="18"/>
        </w:rPr>
        <w:t>the obligations of any other party to the plan have been fulfilled;</w:t>
      </w:r>
      <w:r w:rsidR="00636409">
        <w:rPr>
          <w:szCs w:val="18"/>
        </w:rPr>
        <w:t xml:space="preserve"> and</w:t>
      </w:r>
    </w:p>
    <w:p w14:paraId="4BD1B2FE" w14:textId="4D9C71DF" w:rsidR="005A44C1" w:rsidRPr="007E4437" w:rsidRDefault="005A44C1" w:rsidP="00034F73">
      <w:pPr>
        <w:pStyle w:val="ListParagraph"/>
        <w:numPr>
          <w:ilvl w:val="1"/>
          <w:numId w:val="19"/>
        </w:numPr>
        <w:rPr>
          <w:szCs w:val="18"/>
        </w:rPr>
      </w:pPr>
      <w:r w:rsidRPr="007E4437">
        <w:rPr>
          <w:szCs w:val="18"/>
        </w:rPr>
        <w:t>all admissible debts or claims have been dealt with in accordance with the plan</w:t>
      </w:r>
      <w:r w:rsidR="00636409">
        <w:rPr>
          <w:szCs w:val="18"/>
        </w:rPr>
        <w:t>.</w:t>
      </w:r>
    </w:p>
    <w:p w14:paraId="46CC8C05" w14:textId="257BD3B0" w:rsidR="005A44C1" w:rsidRPr="007E4437" w:rsidRDefault="00636409" w:rsidP="00034F73">
      <w:pPr>
        <w:pStyle w:val="ListParagraph"/>
        <w:numPr>
          <w:ilvl w:val="0"/>
          <w:numId w:val="19"/>
        </w:numPr>
        <w:rPr>
          <w:szCs w:val="18"/>
        </w:rPr>
      </w:pPr>
      <w:r>
        <w:rPr>
          <w:szCs w:val="18"/>
        </w:rPr>
        <w:t xml:space="preserve">When </w:t>
      </w:r>
      <w:r w:rsidR="005A44C1" w:rsidRPr="007E4437">
        <w:rPr>
          <w:szCs w:val="18"/>
        </w:rPr>
        <w:t xml:space="preserve">all of the conditions are satisfied, </w:t>
      </w:r>
      <w:r w:rsidR="005B3612" w:rsidRPr="007E4437">
        <w:rPr>
          <w:szCs w:val="18"/>
        </w:rPr>
        <w:t>the</w:t>
      </w:r>
      <w:r w:rsidR="005A44C1" w:rsidRPr="007E4437">
        <w:rPr>
          <w:szCs w:val="18"/>
        </w:rPr>
        <w:t xml:space="preserve"> company is released from all admissible debts or claims and the company is entitled to any property that was not required by the plan to be distributed to creditors.</w:t>
      </w:r>
    </w:p>
    <w:p w14:paraId="78339FE4" w14:textId="5163B971" w:rsidR="000C1B6D" w:rsidRPr="007E4437" w:rsidRDefault="005A44C1" w:rsidP="00034F73">
      <w:pPr>
        <w:pStyle w:val="ListParagraph"/>
        <w:numPr>
          <w:ilvl w:val="0"/>
          <w:numId w:val="19"/>
        </w:numPr>
      </w:pPr>
      <w:r w:rsidRPr="004E0CEE">
        <w:rPr>
          <w:szCs w:val="18"/>
        </w:rPr>
        <w:t>If a company</w:t>
      </w:r>
      <w:r w:rsidR="009A299E">
        <w:rPr>
          <w:szCs w:val="18"/>
        </w:rPr>
        <w:t>’</w:t>
      </w:r>
      <w:r w:rsidRPr="004E0CEE">
        <w:rPr>
          <w:szCs w:val="18"/>
        </w:rPr>
        <w:t xml:space="preserve">s restructuring plan terminates other than because the conditions </w:t>
      </w:r>
      <w:r w:rsidR="004E0CEE" w:rsidRPr="004E0CEE">
        <w:rPr>
          <w:szCs w:val="18"/>
        </w:rPr>
        <w:t xml:space="preserve">at paragraph </w:t>
      </w:r>
      <w:r w:rsidR="004E0CEE" w:rsidRPr="004E0CEE">
        <w:rPr>
          <w:szCs w:val="18"/>
        </w:rPr>
        <w:fldChar w:fldCharType="begin"/>
      </w:r>
      <w:r w:rsidR="004E0CEE" w:rsidRPr="004E0CEE">
        <w:rPr>
          <w:szCs w:val="18"/>
        </w:rPr>
        <w:instrText xml:space="preserve"> REF _Ref181364720 \r \h </w:instrText>
      </w:r>
      <w:r w:rsidR="004E0CEE" w:rsidRPr="004E0CEE">
        <w:rPr>
          <w:szCs w:val="18"/>
        </w:rPr>
      </w:r>
      <w:r w:rsidR="004E0CEE" w:rsidRPr="004E0CEE">
        <w:rPr>
          <w:szCs w:val="18"/>
        </w:rPr>
        <w:fldChar w:fldCharType="separate"/>
      </w:r>
      <w:r w:rsidR="001920D2">
        <w:rPr>
          <w:szCs w:val="18"/>
        </w:rPr>
        <w:t>13</w:t>
      </w:r>
      <w:r w:rsidR="004E0CEE" w:rsidRPr="004E0CEE">
        <w:rPr>
          <w:szCs w:val="18"/>
        </w:rPr>
        <w:fldChar w:fldCharType="end"/>
      </w:r>
      <w:r w:rsidR="004E0CEE" w:rsidRPr="004E0CEE">
        <w:rPr>
          <w:szCs w:val="18"/>
        </w:rPr>
        <w:t xml:space="preserve"> </w:t>
      </w:r>
      <w:r w:rsidRPr="004E0CEE">
        <w:rPr>
          <w:szCs w:val="18"/>
        </w:rPr>
        <w:t>are met, any admissible debt or claim that has not been dealt with in accordance with the plan is taken to be due and payable on the business day after the day on which the termination occurs.</w:t>
      </w:r>
    </w:p>
    <w:sectPr w:rsidR="000C1B6D" w:rsidRPr="007E4437" w:rsidSect="006119FB">
      <w:headerReference w:type="default" r:id="rId13"/>
      <w:footerReference w:type="default" r:id="rId14"/>
      <w:foot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DA48" w14:textId="77777777" w:rsidR="005B5EAB" w:rsidRDefault="005B5EAB" w:rsidP="00B2180A">
      <w:pPr>
        <w:spacing w:after="0" w:line="240" w:lineRule="auto"/>
      </w:pPr>
      <w:r>
        <w:separator/>
      </w:r>
    </w:p>
  </w:endnote>
  <w:endnote w:type="continuationSeparator" w:id="0">
    <w:p w14:paraId="23CBB7FF" w14:textId="77777777" w:rsidR="005B5EAB" w:rsidRDefault="005B5EAB" w:rsidP="00B2180A">
      <w:pPr>
        <w:spacing w:after="0" w:line="240" w:lineRule="auto"/>
      </w:pPr>
      <w:r>
        <w:continuationSeparator/>
      </w:r>
    </w:p>
  </w:endnote>
  <w:endnote w:type="continuationNotice" w:id="1">
    <w:p w14:paraId="19C66841" w14:textId="77777777" w:rsidR="005B5EAB" w:rsidRDefault="005B5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140028"/>
      <w:docPartObj>
        <w:docPartGallery w:val="Page Numbers (Bottom of Page)"/>
        <w:docPartUnique/>
      </w:docPartObj>
    </w:sdtPr>
    <w:sdtEndPr>
      <w:rPr>
        <w:b/>
        <w:bCs/>
        <w:color w:val="2F5496" w:themeColor="accent1" w:themeShade="BF"/>
        <w:sz w:val="20"/>
        <w:szCs w:val="20"/>
        <w:highlight w:val="yellow"/>
      </w:rPr>
    </w:sdtEndPr>
    <w:sdtContent>
      <w:sdt>
        <w:sdtPr>
          <w:rPr>
            <w:highlight w:val="yellow"/>
          </w:rPr>
          <w:id w:val="-1769616900"/>
          <w:docPartObj>
            <w:docPartGallery w:val="Page Numbers (Top of Page)"/>
            <w:docPartUnique/>
          </w:docPartObj>
        </w:sdtPr>
        <w:sdtEndPr>
          <w:rPr>
            <w:b/>
            <w:bCs/>
            <w:color w:val="2F5496" w:themeColor="accent1" w:themeShade="BF"/>
            <w:sz w:val="20"/>
            <w:szCs w:val="20"/>
          </w:rPr>
        </w:sdtEndPr>
        <w:sdtContent>
          <w:p w14:paraId="18EFD1DD" w14:textId="08E38052" w:rsidR="009334DC" w:rsidRPr="007E4437" w:rsidRDefault="0056786F" w:rsidP="006119FB">
            <w:pPr>
              <w:pStyle w:val="Footer"/>
              <w:tabs>
                <w:tab w:val="clear" w:pos="4513"/>
              </w:tabs>
              <w:rPr>
                <w:color w:val="2F5496" w:themeColor="accent1" w:themeShade="BF"/>
              </w:rPr>
            </w:pPr>
            <w:r w:rsidRPr="0056786F">
              <w:rPr>
                <w:color w:val="0072CE"/>
              </w:rPr>
              <w:t>© Australian Securities and Investments Commission</w:t>
            </w:r>
            <w:r w:rsidR="00BE2F54" w:rsidRPr="0056786F">
              <w:rPr>
                <w:color w:val="0072CE"/>
              </w:rPr>
              <w:t xml:space="preserve"> </w:t>
            </w:r>
            <w:r w:rsidRPr="0056786F">
              <w:rPr>
                <w:color w:val="0072CE"/>
              </w:rPr>
              <w:t>Nov</w:t>
            </w:r>
            <w:r w:rsidR="00BE2F54" w:rsidRPr="0056786F">
              <w:rPr>
                <w:color w:val="0072CE"/>
              </w:rPr>
              <w:t>ember 2024</w:t>
            </w:r>
            <w:r w:rsidR="005D292C" w:rsidRPr="0056786F">
              <w:rPr>
                <w:color w:val="0072CE"/>
              </w:rPr>
              <w:tab/>
            </w:r>
            <w:r w:rsidR="009334DC" w:rsidRPr="0056786F">
              <w:rPr>
                <w:color w:val="0072CE"/>
              </w:rPr>
              <w:t xml:space="preserve">Page </w:t>
            </w:r>
            <w:r w:rsidR="009334DC" w:rsidRPr="0056786F">
              <w:rPr>
                <w:b/>
                <w:bCs/>
                <w:color w:val="0072CE"/>
              </w:rPr>
              <w:fldChar w:fldCharType="begin"/>
            </w:r>
            <w:r w:rsidR="009334DC" w:rsidRPr="0056786F">
              <w:rPr>
                <w:b/>
                <w:bCs/>
                <w:color w:val="0072CE"/>
              </w:rPr>
              <w:instrText xml:space="preserve"> PAGE </w:instrText>
            </w:r>
            <w:r w:rsidR="009334DC" w:rsidRPr="0056786F">
              <w:rPr>
                <w:b/>
                <w:bCs/>
                <w:color w:val="0072CE"/>
              </w:rPr>
              <w:fldChar w:fldCharType="separate"/>
            </w:r>
            <w:r w:rsidR="009334DC" w:rsidRPr="0056786F">
              <w:rPr>
                <w:b/>
                <w:bCs/>
                <w:color w:val="0072CE"/>
              </w:rPr>
              <w:t>2</w:t>
            </w:r>
            <w:r w:rsidR="009334DC" w:rsidRPr="0056786F">
              <w:rPr>
                <w:b/>
                <w:bCs/>
                <w:color w:val="0072CE"/>
              </w:rPr>
              <w:fldChar w:fldCharType="end"/>
            </w:r>
            <w:r w:rsidR="009334DC" w:rsidRPr="0056786F">
              <w:rPr>
                <w:color w:val="0072CE"/>
              </w:rPr>
              <w:t xml:space="preserve"> of </w:t>
            </w:r>
            <w:r w:rsidR="009334DC" w:rsidRPr="0056786F">
              <w:rPr>
                <w:b/>
                <w:bCs/>
                <w:color w:val="0072CE"/>
              </w:rPr>
              <w:fldChar w:fldCharType="begin"/>
            </w:r>
            <w:r w:rsidR="009334DC" w:rsidRPr="0056786F">
              <w:rPr>
                <w:b/>
                <w:bCs/>
                <w:color w:val="0072CE"/>
              </w:rPr>
              <w:instrText xml:space="preserve"> NUMPAGES  </w:instrText>
            </w:r>
            <w:r w:rsidR="009334DC" w:rsidRPr="0056786F">
              <w:rPr>
                <w:b/>
                <w:bCs/>
                <w:color w:val="0072CE"/>
              </w:rPr>
              <w:fldChar w:fldCharType="separate"/>
            </w:r>
            <w:r w:rsidR="009334DC" w:rsidRPr="0056786F">
              <w:rPr>
                <w:b/>
                <w:bCs/>
                <w:color w:val="0072CE"/>
              </w:rPr>
              <w:t>2</w:t>
            </w:r>
            <w:r w:rsidR="009334DC" w:rsidRPr="0056786F">
              <w:rPr>
                <w:b/>
                <w:bCs/>
                <w:color w:val="0072CE"/>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1969076887"/>
      <w:docPartObj>
        <w:docPartGallery w:val="Page Numbers (Top of Page)"/>
        <w:docPartUnique/>
      </w:docPartObj>
    </w:sdtPr>
    <w:sdtEndPr>
      <w:rPr>
        <w:b/>
        <w:bCs/>
        <w:color w:val="2F5496" w:themeColor="accent1" w:themeShade="BF"/>
        <w:sz w:val="20"/>
        <w:szCs w:val="20"/>
      </w:rPr>
    </w:sdtEndPr>
    <w:sdtContent>
      <w:p w14:paraId="4E88FAFC" w14:textId="77777777" w:rsidR="0056786F" w:rsidRDefault="0056786F" w:rsidP="0056786F">
        <w:pPr>
          <w:pStyle w:val="Footer"/>
          <w:rPr>
            <w:b/>
            <w:bCs/>
            <w:color w:val="2F5496" w:themeColor="accent1" w:themeShade="BF"/>
            <w:sz w:val="20"/>
            <w:szCs w:val="20"/>
            <w:highlight w:val="yellow"/>
          </w:rPr>
        </w:pPr>
        <w:r w:rsidRPr="0056786F">
          <w:rPr>
            <w:color w:val="0072CE"/>
          </w:rPr>
          <w:t>© Australian Securities and Investments Commission November 2024</w:t>
        </w:r>
        <w:r w:rsidRPr="0056786F">
          <w:rPr>
            <w:color w:val="0072CE"/>
          </w:rPr>
          <w:tab/>
          <w:t xml:space="preserve">Page </w:t>
        </w:r>
        <w:r w:rsidRPr="0056786F">
          <w:rPr>
            <w:b/>
            <w:bCs/>
            <w:color w:val="0072CE"/>
          </w:rPr>
          <w:fldChar w:fldCharType="begin"/>
        </w:r>
        <w:r w:rsidRPr="0056786F">
          <w:rPr>
            <w:b/>
            <w:bCs/>
            <w:color w:val="0072CE"/>
          </w:rPr>
          <w:instrText xml:space="preserve"> PAGE </w:instrText>
        </w:r>
        <w:r w:rsidRPr="0056786F">
          <w:rPr>
            <w:b/>
            <w:bCs/>
            <w:color w:val="0072CE"/>
          </w:rPr>
          <w:fldChar w:fldCharType="separate"/>
        </w:r>
        <w:r>
          <w:rPr>
            <w:b/>
            <w:bCs/>
            <w:color w:val="0072CE"/>
          </w:rPr>
          <w:t>2</w:t>
        </w:r>
        <w:r w:rsidRPr="0056786F">
          <w:rPr>
            <w:b/>
            <w:bCs/>
            <w:color w:val="0072CE"/>
          </w:rPr>
          <w:fldChar w:fldCharType="end"/>
        </w:r>
        <w:r w:rsidRPr="0056786F">
          <w:rPr>
            <w:color w:val="0072CE"/>
          </w:rPr>
          <w:t xml:space="preserve"> of </w:t>
        </w:r>
        <w:r w:rsidRPr="0056786F">
          <w:rPr>
            <w:b/>
            <w:bCs/>
            <w:color w:val="0072CE"/>
          </w:rPr>
          <w:fldChar w:fldCharType="begin"/>
        </w:r>
        <w:r w:rsidRPr="0056786F">
          <w:rPr>
            <w:b/>
            <w:bCs/>
            <w:color w:val="0072CE"/>
          </w:rPr>
          <w:instrText xml:space="preserve"> NUMPAGES  </w:instrText>
        </w:r>
        <w:r w:rsidRPr="0056786F">
          <w:rPr>
            <w:b/>
            <w:bCs/>
            <w:color w:val="0072CE"/>
          </w:rPr>
          <w:fldChar w:fldCharType="separate"/>
        </w:r>
        <w:r>
          <w:rPr>
            <w:b/>
            <w:bCs/>
            <w:color w:val="0072CE"/>
          </w:rPr>
          <w:t>3</w:t>
        </w:r>
        <w:r w:rsidRPr="0056786F">
          <w:rPr>
            <w:b/>
            <w:bCs/>
            <w:color w:val="0072C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9C0E" w14:textId="77777777" w:rsidR="005B5EAB" w:rsidRDefault="005B5EAB" w:rsidP="00B2180A">
      <w:pPr>
        <w:spacing w:after="0" w:line="240" w:lineRule="auto"/>
      </w:pPr>
      <w:r>
        <w:separator/>
      </w:r>
    </w:p>
  </w:footnote>
  <w:footnote w:type="continuationSeparator" w:id="0">
    <w:p w14:paraId="40FFB89C" w14:textId="77777777" w:rsidR="005B5EAB" w:rsidRDefault="005B5EAB" w:rsidP="00B2180A">
      <w:pPr>
        <w:spacing w:after="0" w:line="240" w:lineRule="auto"/>
      </w:pPr>
      <w:r>
        <w:continuationSeparator/>
      </w:r>
    </w:p>
  </w:footnote>
  <w:footnote w:type="continuationNotice" w:id="1">
    <w:p w14:paraId="7331A102" w14:textId="77777777" w:rsidR="005B5EAB" w:rsidRDefault="005B5E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5BFD" w14:textId="1DE3DA33" w:rsidR="009334DC" w:rsidRPr="005D292C" w:rsidRDefault="005A44C1" w:rsidP="005D292C">
    <w:pPr>
      <w:pStyle w:val="Header"/>
      <w:jc w:val="right"/>
      <w:rPr>
        <w:color w:val="2F5496" w:themeColor="accent1" w:themeShade="BF"/>
        <w:sz w:val="20"/>
        <w:szCs w:val="20"/>
      </w:rPr>
    </w:pPr>
    <w:r w:rsidRPr="00034F73">
      <w:rPr>
        <w:color w:val="0072CE"/>
      </w:rPr>
      <w:t xml:space="preserve">Restructuring </w:t>
    </w:r>
    <w:r w:rsidR="00B46EAF">
      <w:rPr>
        <w:color w:val="0072CE"/>
      </w:rPr>
      <w:t>p</w:t>
    </w:r>
    <w:r w:rsidRPr="00034F73">
      <w:rPr>
        <w:color w:val="0072CE"/>
      </w:rPr>
      <w:t xml:space="preserve">roposal </w:t>
    </w:r>
    <w:r w:rsidR="00B46EAF">
      <w:rPr>
        <w:color w:val="0072CE"/>
      </w:rPr>
      <w:t>s</w:t>
    </w:r>
    <w:r w:rsidRPr="00034F73">
      <w:rPr>
        <w:color w:val="0072CE"/>
      </w:rPr>
      <w:t>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E79"/>
    <w:multiLevelType w:val="hybridMultilevel"/>
    <w:tmpl w:val="D2964C30"/>
    <w:lvl w:ilvl="0" w:tplc="0980B9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F219D"/>
    <w:multiLevelType w:val="hybridMultilevel"/>
    <w:tmpl w:val="6B82DD90"/>
    <w:lvl w:ilvl="0" w:tplc="7E20F888">
      <w:start w:val="1"/>
      <w:numFmt w:val="lowerLetter"/>
      <w:lvlText w:val="(%1)"/>
      <w:lvlJc w:val="left"/>
      <w:pPr>
        <w:ind w:left="720" w:hanging="360"/>
      </w:pPr>
      <w:rPr>
        <w:rFonts w:ascii="Times New Roman" w:eastAsia="Times New Roman" w:hAnsi="Times New Roman" w:hint="default"/>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E20E1E"/>
    <w:multiLevelType w:val="multilevel"/>
    <w:tmpl w:val="4F62EADE"/>
    <w:lvl w:ilvl="0">
      <w:start w:val="1"/>
      <w:numFmt w:val="none"/>
      <w:lvlText w:val=""/>
      <w:lvlJc w:val="left"/>
      <w:pPr>
        <w:ind w:left="425" w:hanging="425"/>
      </w:pPr>
      <w:rPr>
        <w:rFonts w:hint="default"/>
      </w:rPr>
    </w:lvl>
    <w:lvl w:ilvl="1">
      <w:start w:val="1"/>
      <w:numFmt w:val="lowerLetter"/>
      <w:lvlText w:val="(%2)"/>
      <w:lvlJc w:val="left"/>
      <w:pPr>
        <w:ind w:left="425" w:hanging="425"/>
      </w:pPr>
      <w:rPr>
        <w:rFonts w:hint="default"/>
      </w:rPr>
    </w:lvl>
    <w:lvl w:ilvl="2">
      <w:start w:val="1"/>
      <w:numFmt w:val="lowerRoman"/>
      <w:lvlText w:val="(%3)"/>
      <w:lvlJc w:val="left"/>
      <w:pPr>
        <w:ind w:left="851" w:hanging="426"/>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 w15:restartNumberingAfterBreak="0">
    <w:nsid w:val="0E882548"/>
    <w:multiLevelType w:val="multilevel"/>
    <w:tmpl w:val="9F145664"/>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4" w15:restartNumberingAfterBreak="0">
    <w:nsid w:val="164346CA"/>
    <w:multiLevelType w:val="hybridMultilevel"/>
    <w:tmpl w:val="FD5686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944F44"/>
    <w:multiLevelType w:val="hybridMultilevel"/>
    <w:tmpl w:val="54CC6E74"/>
    <w:lvl w:ilvl="0" w:tplc="44B09D98">
      <w:start w:val="1"/>
      <w:numFmt w:val="lowerRoman"/>
      <w:lvlText w:val="(%1)"/>
      <w:lvlJc w:val="left"/>
      <w:pPr>
        <w:ind w:left="720" w:hanging="360"/>
      </w:pPr>
      <w:rPr>
        <w:rFonts w:ascii="Times New Roman" w:eastAsia="Times New Roman" w:hAnsi="Times New Roman" w:hint="default"/>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FB0DAF"/>
    <w:multiLevelType w:val="hybridMultilevel"/>
    <w:tmpl w:val="8334C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410511"/>
    <w:multiLevelType w:val="hybridMultilevel"/>
    <w:tmpl w:val="0CBE10F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617CC7"/>
    <w:multiLevelType w:val="hybridMultilevel"/>
    <w:tmpl w:val="89283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EF32C0"/>
    <w:multiLevelType w:val="hybridMultilevel"/>
    <w:tmpl w:val="56CC3140"/>
    <w:lvl w:ilvl="0" w:tplc="0980B99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155304"/>
    <w:multiLevelType w:val="hybridMultilevel"/>
    <w:tmpl w:val="ECC25DC2"/>
    <w:lvl w:ilvl="0" w:tplc="0980B990">
      <w:start w:val="1"/>
      <w:numFmt w:val="lowerLetter"/>
      <w:lvlText w:val="%1."/>
      <w:lvlJc w:val="left"/>
      <w:pPr>
        <w:ind w:left="768" w:hanging="360"/>
      </w:pPr>
      <w:rPr>
        <w:rFonts w:hint="default"/>
      </w:r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1" w15:restartNumberingAfterBreak="0">
    <w:nsid w:val="32034F56"/>
    <w:multiLevelType w:val="multilevel"/>
    <w:tmpl w:val="F858CA74"/>
    <w:lvl w:ilvl="0">
      <w:start w:val="1"/>
      <w:numFmt w:val="none"/>
      <w:lvlText w:val=""/>
      <w:lvlJc w:val="left"/>
      <w:pPr>
        <w:ind w:left="0" w:firstLine="0"/>
      </w:pPr>
      <w:rPr>
        <w:rFonts w:hint="default"/>
      </w:rPr>
    </w:lvl>
    <w:lvl w:ilvl="1">
      <w:start w:val="1"/>
      <w:numFmt w:val="lowerLetter"/>
      <w:lvlText w:val="(%2)"/>
      <w:lvlJc w:val="left"/>
      <w:pPr>
        <w:ind w:left="425" w:hanging="425"/>
      </w:pPr>
      <w:rPr>
        <w:rFonts w:hint="default"/>
      </w:rPr>
    </w:lvl>
    <w:lvl w:ilvl="2">
      <w:start w:val="1"/>
      <w:numFmt w:val="lowerRoman"/>
      <w:lvlText w:val="(%3)"/>
      <w:lvlJc w:val="left"/>
      <w:pPr>
        <w:ind w:left="851" w:hanging="426"/>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15:restartNumberingAfterBreak="0">
    <w:nsid w:val="36285FFC"/>
    <w:multiLevelType w:val="multilevel"/>
    <w:tmpl w:val="9F145664"/>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3" w15:restartNumberingAfterBreak="0">
    <w:nsid w:val="3A0F0A31"/>
    <w:multiLevelType w:val="hybridMultilevel"/>
    <w:tmpl w:val="4BEC3368"/>
    <w:lvl w:ilvl="0" w:tplc="18305FD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20E5"/>
    <w:multiLevelType w:val="hybridMultilevel"/>
    <w:tmpl w:val="2132F4DE"/>
    <w:lvl w:ilvl="0" w:tplc="807211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EA7C41"/>
    <w:multiLevelType w:val="hybridMultilevel"/>
    <w:tmpl w:val="48986010"/>
    <w:lvl w:ilvl="0" w:tplc="5BA41B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69000E"/>
    <w:multiLevelType w:val="multilevel"/>
    <w:tmpl w:val="9F145664"/>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7" w15:restartNumberingAfterBreak="0">
    <w:nsid w:val="4B221FF0"/>
    <w:multiLevelType w:val="multilevel"/>
    <w:tmpl w:val="F858CA74"/>
    <w:lvl w:ilvl="0">
      <w:start w:val="1"/>
      <w:numFmt w:val="none"/>
      <w:lvlText w:val=""/>
      <w:lvlJc w:val="left"/>
      <w:pPr>
        <w:ind w:left="0" w:firstLine="0"/>
      </w:pPr>
      <w:rPr>
        <w:rFonts w:hint="default"/>
      </w:rPr>
    </w:lvl>
    <w:lvl w:ilvl="1">
      <w:start w:val="1"/>
      <w:numFmt w:val="lowerLetter"/>
      <w:lvlText w:val="(%2)"/>
      <w:lvlJc w:val="left"/>
      <w:pPr>
        <w:ind w:left="425" w:hanging="425"/>
      </w:pPr>
      <w:rPr>
        <w:rFonts w:hint="default"/>
      </w:rPr>
    </w:lvl>
    <w:lvl w:ilvl="2">
      <w:start w:val="1"/>
      <w:numFmt w:val="lowerRoman"/>
      <w:lvlText w:val="(%3)"/>
      <w:lvlJc w:val="left"/>
      <w:pPr>
        <w:ind w:left="851" w:hanging="426"/>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8" w15:restartNumberingAfterBreak="0">
    <w:nsid w:val="53A5253D"/>
    <w:multiLevelType w:val="multilevel"/>
    <w:tmpl w:val="9F145664"/>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9" w15:restartNumberingAfterBreak="0">
    <w:nsid w:val="545D45F4"/>
    <w:multiLevelType w:val="multilevel"/>
    <w:tmpl w:val="9F145664"/>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0" w15:restartNumberingAfterBreak="0">
    <w:nsid w:val="66A06488"/>
    <w:multiLevelType w:val="hybridMultilevel"/>
    <w:tmpl w:val="0F404A2E"/>
    <w:lvl w:ilvl="0" w:tplc="0C090017">
      <w:start w:val="1"/>
      <w:numFmt w:val="lowerLetter"/>
      <w:lvlText w:val="%1)"/>
      <w:lvlJc w:val="left"/>
      <w:pPr>
        <w:ind w:left="720" w:hanging="360"/>
      </w:pPr>
      <w:rPr>
        <w:rFonts w:hint="default"/>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197D78"/>
    <w:multiLevelType w:val="hybridMultilevel"/>
    <w:tmpl w:val="E3FCDFD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096183"/>
    <w:multiLevelType w:val="hybridMultilevel"/>
    <w:tmpl w:val="4C061342"/>
    <w:lvl w:ilvl="0" w:tplc="0980B9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CA5935"/>
    <w:multiLevelType w:val="hybridMultilevel"/>
    <w:tmpl w:val="2096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4821EB"/>
    <w:multiLevelType w:val="hybridMultilevel"/>
    <w:tmpl w:val="808638E8"/>
    <w:lvl w:ilvl="0" w:tplc="3B989E14">
      <w:start w:val="1"/>
      <w:numFmt w:val="decimal"/>
      <w:pStyle w:val="Heading3"/>
      <w:lvlText w:val="%1."/>
      <w:lvlJc w:val="left"/>
      <w:pPr>
        <w:ind w:left="720" w:hanging="360"/>
      </w:pPr>
    </w:lvl>
    <w:lvl w:ilvl="1" w:tplc="ADC25F2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DD651D"/>
    <w:multiLevelType w:val="multilevel"/>
    <w:tmpl w:val="F858CA74"/>
    <w:lvl w:ilvl="0">
      <w:start w:val="1"/>
      <w:numFmt w:val="none"/>
      <w:lvlText w:val=""/>
      <w:lvlJc w:val="left"/>
      <w:pPr>
        <w:ind w:left="0" w:firstLine="0"/>
      </w:pPr>
      <w:rPr>
        <w:rFonts w:hint="default"/>
      </w:rPr>
    </w:lvl>
    <w:lvl w:ilvl="1">
      <w:start w:val="1"/>
      <w:numFmt w:val="lowerLetter"/>
      <w:lvlText w:val="(%2)"/>
      <w:lvlJc w:val="left"/>
      <w:pPr>
        <w:ind w:left="425" w:hanging="425"/>
      </w:pPr>
      <w:rPr>
        <w:rFonts w:hint="default"/>
      </w:rPr>
    </w:lvl>
    <w:lvl w:ilvl="2">
      <w:start w:val="1"/>
      <w:numFmt w:val="lowerRoman"/>
      <w:lvlText w:val="(%3)"/>
      <w:lvlJc w:val="left"/>
      <w:pPr>
        <w:ind w:left="851" w:hanging="426"/>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6" w15:restartNumberingAfterBreak="0">
    <w:nsid w:val="7FA072D6"/>
    <w:multiLevelType w:val="multilevel"/>
    <w:tmpl w:val="9F145664"/>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num w:numId="1" w16cid:durableId="1159232680">
    <w:abstractNumId w:val="17"/>
  </w:num>
  <w:num w:numId="2" w16cid:durableId="890993972">
    <w:abstractNumId w:val="7"/>
  </w:num>
  <w:num w:numId="3" w16cid:durableId="463085109">
    <w:abstractNumId w:val="5"/>
  </w:num>
  <w:num w:numId="4" w16cid:durableId="1470397040">
    <w:abstractNumId w:val="4"/>
  </w:num>
  <w:num w:numId="5" w16cid:durableId="686370559">
    <w:abstractNumId w:val="15"/>
  </w:num>
  <w:num w:numId="6" w16cid:durableId="1379629588">
    <w:abstractNumId w:val="1"/>
  </w:num>
  <w:num w:numId="7" w16cid:durableId="1467040533">
    <w:abstractNumId w:val="20"/>
  </w:num>
  <w:num w:numId="8" w16cid:durableId="1922520352">
    <w:abstractNumId w:val="9"/>
  </w:num>
  <w:num w:numId="9" w16cid:durableId="1809400940">
    <w:abstractNumId w:val="21"/>
  </w:num>
  <w:num w:numId="10" w16cid:durableId="716008714">
    <w:abstractNumId w:val="14"/>
  </w:num>
  <w:num w:numId="11" w16cid:durableId="1170564743">
    <w:abstractNumId w:val="22"/>
  </w:num>
  <w:num w:numId="12" w16cid:durableId="822819166">
    <w:abstractNumId w:val="10"/>
  </w:num>
  <w:num w:numId="13" w16cid:durableId="938565749">
    <w:abstractNumId w:val="0"/>
  </w:num>
  <w:num w:numId="14" w16cid:durableId="1595672214">
    <w:abstractNumId w:val="6"/>
  </w:num>
  <w:num w:numId="15" w16cid:durableId="1118991967">
    <w:abstractNumId w:val="8"/>
  </w:num>
  <w:num w:numId="16" w16cid:durableId="2118211252">
    <w:abstractNumId w:val="13"/>
  </w:num>
  <w:num w:numId="17" w16cid:durableId="1833830369">
    <w:abstractNumId w:val="23"/>
  </w:num>
  <w:num w:numId="18" w16cid:durableId="1503398283">
    <w:abstractNumId w:val="24"/>
  </w:num>
  <w:num w:numId="19" w16cid:durableId="563373836">
    <w:abstractNumId w:val="3"/>
  </w:num>
  <w:num w:numId="20" w16cid:durableId="1295326779">
    <w:abstractNumId w:val="2"/>
  </w:num>
  <w:num w:numId="21" w16cid:durableId="1498500950">
    <w:abstractNumId w:val="16"/>
  </w:num>
  <w:num w:numId="22" w16cid:durableId="150025882">
    <w:abstractNumId w:val="26"/>
  </w:num>
  <w:num w:numId="23" w16cid:durableId="23410205">
    <w:abstractNumId w:val="11"/>
  </w:num>
  <w:num w:numId="24" w16cid:durableId="541524507">
    <w:abstractNumId w:val="25"/>
  </w:num>
  <w:num w:numId="25" w16cid:durableId="372507066">
    <w:abstractNumId w:val="12"/>
  </w:num>
  <w:num w:numId="26" w16cid:durableId="898826344">
    <w:abstractNumId w:val="19"/>
  </w:num>
  <w:num w:numId="27" w16cid:durableId="18179121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6D"/>
    <w:rsid w:val="0000354E"/>
    <w:rsid w:val="00007483"/>
    <w:rsid w:val="00034F73"/>
    <w:rsid w:val="00037704"/>
    <w:rsid w:val="00063504"/>
    <w:rsid w:val="00080F72"/>
    <w:rsid w:val="00090CFE"/>
    <w:rsid w:val="0009556D"/>
    <w:rsid w:val="00095723"/>
    <w:rsid w:val="00097F86"/>
    <w:rsid w:val="000A31F1"/>
    <w:rsid w:val="000B3608"/>
    <w:rsid w:val="000C1B6D"/>
    <w:rsid w:val="000C537D"/>
    <w:rsid w:val="000C6E1F"/>
    <w:rsid w:val="000E62B4"/>
    <w:rsid w:val="000E7AFC"/>
    <w:rsid w:val="0010019F"/>
    <w:rsid w:val="0010270F"/>
    <w:rsid w:val="00102FB6"/>
    <w:rsid w:val="00113CAD"/>
    <w:rsid w:val="001153F3"/>
    <w:rsid w:val="001229F4"/>
    <w:rsid w:val="00127202"/>
    <w:rsid w:val="001278C2"/>
    <w:rsid w:val="001344C9"/>
    <w:rsid w:val="001517FA"/>
    <w:rsid w:val="00153E8B"/>
    <w:rsid w:val="001920D2"/>
    <w:rsid w:val="001B22BF"/>
    <w:rsid w:val="001B4B08"/>
    <w:rsid w:val="001C0162"/>
    <w:rsid w:val="001C4952"/>
    <w:rsid w:val="001D79C6"/>
    <w:rsid w:val="001E02FA"/>
    <w:rsid w:val="001F25DC"/>
    <w:rsid w:val="00220E1C"/>
    <w:rsid w:val="00232AD7"/>
    <w:rsid w:val="00235695"/>
    <w:rsid w:val="002415E6"/>
    <w:rsid w:val="00244826"/>
    <w:rsid w:val="002530C2"/>
    <w:rsid w:val="0026242A"/>
    <w:rsid w:val="00263A0A"/>
    <w:rsid w:val="00266A4B"/>
    <w:rsid w:val="00277362"/>
    <w:rsid w:val="002815FC"/>
    <w:rsid w:val="002A3CD6"/>
    <w:rsid w:val="002B7A49"/>
    <w:rsid w:val="002C0882"/>
    <w:rsid w:val="002C14F8"/>
    <w:rsid w:val="002C5962"/>
    <w:rsid w:val="002F6C00"/>
    <w:rsid w:val="002F6F91"/>
    <w:rsid w:val="003039F3"/>
    <w:rsid w:val="0030770A"/>
    <w:rsid w:val="0032717F"/>
    <w:rsid w:val="0032764A"/>
    <w:rsid w:val="00336BAC"/>
    <w:rsid w:val="00345E87"/>
    <w:rsid w:val="00346FD3"/>
    <w:rsid w:val="00347613"/>
    <w:rsid w:val="00353AFD"/>
    <w:rsid w:val="003631D9"/>
    <w:rsid w:val="003634D4"/>
    <w:rsid w:val="00364347"/>
    <w:rsid w:val="00377408"/>
    <w:rsid w:val="00396160"/>
    <w:rsid w:val="003A1285"/>
    <w:rsid w:val="003A4E23"/>
    <w:rsid w:val="003A4EF6"/>
    <w:rsid w:val="003B7908"/>
    <w:rsid w:val="003E047A"/>
    <w:rsid w:val="003F61A9"/>
    <w:rsid w:val="00405602"/>
    <w:rsid w:val="00416F65"/>
    <w:rsid w:val="004224AD"/>
    <w:rsid w:val="004227B9"/>
    <w:rsid w:val="004441C9"/>
    <w:rsid w:val="00454814"/>
    <w:rsid w:val="004615B6"/>
    <w:rsid w:val="00465D8D"/>
    <w:rsid w:val="00474AF4"/>
    <w:rsid w:val="00486362"/>
    <w:rsid w:val="0048756A"/>
    <w:rsid w:val="00492480"/>
    <w:rsid w:val="004B0C0B"/>
    <w:rsid w:val="004B25C9"/>
    <w:rsid w:val="004B67D0"/>
    <w:rsid w:val="004C0413"/>
    <w:rsid w:val="004C6B0E"/>
    <w:rsid w:val="004E0CEE"/>
    <w:rsid w:val="004F5322"/>
    <w:rsid w:val="005068AF"/>
    <w:rsid w:val="00506B32"/>
    <w:rsid w:val="005106C8"/>
    <w:rsid w:val="005118E0"/>
    <w:rsid w:val="00514222"/>
    <w:rsid w:val="00517539"/>
    <w:rsid w:val="00523019"/>
    <w:rsid w:val="00523C6C"/>
    <w:rsid w:val="00526945"/>
    <w:rsid w:val="0052739E"/>
    <w:rsid w:val="00527AED"/>
    <w:rsid w:val="00530338"/>
    <w:rsid w:val="005334CB"/>
    <w:rsid w:val="00540BC4"/>
    <w:rsid w:val="00545711"/>
    <w:rsid w:val="00547436"/>
    <w:rsid w:val="00554EF6"/>
    <w:rsid w:val="005648A4"/>
    <w:rsid w:val="005659D2"/>
    <w:rsid w:val="0056605C"/>
    <w:rsid w:val="0056786F"/>
    <w:rsid w:val="00590B04"/>
    <w:rsid w:val="005A2208"/>
    <w:rsid w:val="005A44C1"/>
    <w:rsid w:val="005B3612"/>
    <w:rsid w:val="005B5EAB"/>
    <w:rsid w:val="005C618E"/>
    <w:rsid w:val="005C62D5"/>
    <w:rsid w:val="005D292C"/>
    <w:rsid w:val="005D2EE5"/>
    <w:rsid w:val="005E0B15"/>
    <w:rsid w:val="005F64DD"/>
    <w:rsid w:val="005F6DAF"/>
    <w:rsid w:val="006023E0"/>
    <w:rsid w:val="006119FB"/>
    <w:rsid w:val="0061439C"/>
    <w:rsid w:val="00616B4C"/>
    <w:rsid w:val="00635345"/>
    <w:rsid w:val="00636409"/>
    <w:rsid w:val="006426A1"/>
    <w:rsid w:val="00652826"/>
    <w:rsid w:val="006650FD"/>
    <w:rsid w:val="00673058"/>
    <w:rsid w:val="00673486"/>
    <w:rsid w:val="00682C49"/>
    <w:rsid w:val="00685233"/>
    <w:rsid w:val="00686109"/>
    <w:rsid w:val="006870BC"/>
    <w:rsid w:val="006C7D4F"/>
    <w:rsid w:val="006D0EEC"/>
    <w:rsid w:val="006E2411"/>
    <w:rsid w:val="006F302E"/>
    <w:rsid w:val="007035FC"/>
    <w:rsid w:val="00703B95"/>
    <w:rsid w:val="00712B41"/>
    <w:rsid w:val="00713DA5"/>
    <w:rsid w:val="007255DC"/>
    <w:rsid w:val="00725CCA"/>
    <w:rsid w:val="00734291"/>
    <w:rsid w:val="0073588B"/>
    <w:rsid w:val="007377FC"/>
    <w:rsid w:val="00742F73"/>
    <w:rsid w:val="0075455E"/>
    <w:rsid w:val="00754869"/>
    <w:rsid w:val="00760594"/>
    <w:rsid w:val="00766653"/>
    <w:rsid w:val="007673D3"/>
    <w:rsid w:val="00774FD7"/>
    <w:rsid w:val="007B0F89"/>
    <w:rsid w:val="007B6A96"/>
    <w:rsid w:val="007C3EE9"/>
    <w:rsid w:val="007D46B0"/>
    <w:rsid w:val="007E4437"/>
    <w:rsid w:val="00805E41"/>
    <w:rsid w:val="00810B65"/>
    <w:rsid w:val="00820D07"/>
    <w:rsid w:val="008533BC"/>
    <w:rsid w:val="0085382C"/>
    <w:rsid w:val="0085422B"/>
    <w:rsid w:val="00865B36"/>
    <w:rsid w:val="00887A9F"/>
    <w:rsid w:val="008C0AB7"/>
    <w:rsid w:val="008C3D60"/>
    <w:rsid w:val="008D617E"/>
    <w:rsid w:val="008E6034"/>
    <w:rsid w:val="008F31A3"/>
    <w:rsid w:val="008F6A02"/>
    <w:rsid w:val="00916640"/>
    <w:rsid w:val="009334DC"/>
    <w:rsid w:val="009341F2"/>
    <w:rsid w:val="00942439"/>
    <w:rsid w:val="00966F98"/>
    <w:rsid w:val="00972DD9"/>
    <w:rsid w:val="00975A08"/>
    <w:rsid w:val="00982B9D"/>
    <w:rsid w:val="009A299E"/>
    <w:rsid w:val="009A4732"/>
    <w:rsid w:val="009B0966"/>
    <w:rsid w:val="009C4A4C"/>
    <w:rsid w:val="009D2215"/>
    <w:rsid w:val="009D3B75"/>
    <w:rsid w:val="009E1FB9"/>
    <w:rsid w:val="009F3873"/>
    <w:rsid w:val="009F395E"/>
    <w:rsid w:val="009F7DA5"/>
    <w:rsid w:val="00A03785"/>
    <w:rsid w:val="00A26C87"/>
    <w:rsid w:val="00A36837"/>
    <w:rsid w:val="00A4354E"/>
    <w:rsid w:val="00A501BB"/>
    <w:rsid w:val="00A52C60"/>
    <w:rsid w:val="00A53659"/>
    <w:rsid w:val="00A63173"/>
    <w:rsid w:val="00A71618"/>
    <w:rsid w:val="00A90A21"/>
    <w:rsid w:val="00A97508"/>
    <w:rsid w:val="00A97BDD"/>
    <w:rsid w:val="00AA320D"/>
    <w:rsid w:val="00AB2B68"/>
    <w:rsid w:val="00AB482B"/>
    <w:rsid w:val="00AC1EF3"/>
    <w:rsid w:val="00AE3B21"/>
    <w:rsid w:val="00AF0697"/>
    <w:rsid w:val="00B01E4E"/>
    <w:rsid w:val="00B2180A"/>
    <w:rsid w:val="00B32FA5"/>
    <w:rsid w:val="00B416F0"/>
    <w:rsid w:val="00B46EAF"/>
    <w:rsid w:val="00B576B4"/>
    <w:rsid w:val="00B70E23"/>
    <w:rsid w:val="00B87859"/>
    <w:rsid w:val="00B92C26"/>
    <w:rsid w:val="00BA148F"/>
    <w:rsid w:val="00BA4888"/>
    <w:rsid w:val="00BB1DDE"/>
    <w:rsid w:val="00BB41F7"/>
    <w:rsid w:val="00BC3ECF"/>
    <w:rsid w:val="00BD7003"/>
    <w:rsid w:val="00BE132A"/>
    <w:rsid w:val="00BE2B71"/>
    <w:rsid w:val="00BE2E59"/>
    <w:rsid w:val="00BE2F54"/>
    <w:rsid w:val="00BF56CD"/>
    <w:rsid w:val="00BF57EB"/>
    <w:rsid w:val="00C01F2B"/>
    <w:rsid w:val="00C03C56"/>
    <w:rsid w:val="00C140A2"/>
    <w:rsid w:val="00C14616"/>
    <w:rsid w:val="00C15260"/>
    <w:rsid w:val="00C242EB"/>
    <w:rsid w:val="00C32175"/>
    <w:rsid w:val="00C3358B"/>
    <w:rsid w:val="00C335F9"/>
    <w:rsid w:val="00C37AB9"/>
    <w:rsid w:val="00C635EA"/>
    <w:rsid w:val="00C637AB"/>
    <w:rsid w:val="00C65ED7"/>
    <w:rsid w:val="00C80C83"/>
    <w:rsid w:val="00C93CC0"/>
    <w:rsid w:val="00CA155E"/>
    <w:rsid w:val="00CA2E58"/>
    <w:rsid w:val="00CA5B7F"/>
    <w:rsid w:val="00CB4AE5"/>
    <w:rsid w:val="00CB4CE5"/>
    <w:rsid w:val="00CD1F94"/>
    <w:rsid w:val="00CE17C0"/>
    <w:rsid w:val="00CF6EE7"/>
    <w:rsid w:val="00D15D44"/>
    <w:rsid w:val="00D17354"/>
    <w:rsid w:val="00D25B73"/>
    <w:rsid w:val="00D35280"/>
    <w:rsid w:val="00D520FD"/>
    <w:rsid w:val="00D61F99"/>
    <w:rsid w:val="00D63EAB"/>
    <w:rsid w:val="00D72A82"/>
    <w:rsid w:val="00D82BE0"/>
    <w:rsid w:val="00D933F6"/>
    <w:rsid w:val="00D96FD9"/>
    <w:rsid w:val="00DA555B"/>
    <w:rsid w:val="00DB2479"/>
    <w:rsid w:val="00DB5997"/>
    <w:rsid w:val="00DB5EE1"/>
    <w:rsid w:val="00DB6589"/>
    <w:rsid w:val="00DB76D7"/>
    <w:rsid w:val="00DD39EC"/>
    <w:rsid w:val="00DE2DD2"/>
    <w:rsid w:val="00DE4CBC"/>
    <w:rsid w:val="00E215D6"/>
    <w:rsid w:val="00E27184"/>
    <w:rsid w:val="00E27E64"/>
    <w:rsid w:val="00E31417"/>
    <w:rsid w:val="00E34924"/>
    <w:rsid w:val="00E37E4B"/>
    <w:rsid w:val="00E4293B"/>
    <w:rsid w:val="00E470B1"/>
    <w:rsid w:val="00E47CA9"/>
    <w:rsid w:val="00E527B9"/>
    <w:rsid w:val="00E608CC"/>
    <w:rsid w:val="00E65182"/>
    <w:rsid w:val="00E6525B"/>
    <w:rsid w:val="00E80D9F"/>
    <w:rsid w:val="00E840D3"/>
    <w:rsid w:val="00E87E27"/>
    <w:rsid w:val="00E9504D"/>
    <w:rsid w:val="00E96963"/>
    <w:rsid w:val="00EA181B"/>
    <w:rsid w:val="00EA2D87"/>
    <w:rsid w:val="00EA3E2E"/>
    <w:rsid w:val="00EC3E49"/>
    <w:rsid w:val="00EC5E01"/>
    <w:rsid w:val="00ED03D3"/>
    <w:rsid w:val="00ED0FB9"/>
    <w:rsid w:val="00ED1C9C"/>
    <w:rsid w:val="00ED49E6"/>
    <w:rsid w:val="00ED4EC9"/>
    <w:rsid w:val="00F12875"/>
    <w:rsid w:val="00F15E2D"/>
    <w:rsid w:val="00F22AE1"/>
    <w:rsid w:val="00F321DB"/>
    <w:rsid w:val="00F34EDF"/>
    <w:rsid w:val="00F36A38"/>
    <w:rsid w:val="00F51C46"/>
    <w:rsid w:val="00F53E5C"/>
    <w:rsid w:val="00F74F06"/>
    <w:rsid w:val="00F75C48"/>
    <w:rsid w:val="00F76C34"/>
    <w:rsid w:val="00F818E6"/>
    <w:rsid w:val="00F81A59"/>
    <w:rsid w:val="00F84258"/>
    <w:rsid w:val="00F8492B"/>
    <w:rsid w:val="00F857A0"/>
    <w:rsid w:val="00F85A47"/>
    <w:rsid w:val="00F942F7"/>
    <w:rsid w:val="00FA73F0"/>
    <w:rsid w:val="00FB3E38"/>
    <w:rsid w:val="00FC412C"/>
    <w:rsid w:val="00FE5B68"/>
    <w:rsid w:val="00FF69BD"/>
    <w:rsid w:val="0D6A75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AC8B"/>
  <w15:chartTrackingRefBased/>
  <w15:docId w15:val="{10DDAE74-FF5F-4AD6-98F6-FAAF18B9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0B1"/>
    <w:rPr>
      <w:rFonts w:ascii="Century Gothic" w:hAnsi="Century Gothic"/>
      <w:sz w:val="18"/>
    </w:rPr>
  </w:style>
  <w:style w:type="paragraph" w:styleId="Heading1">
    <w:name w:val="heading 1"/>
    <w:basedOn w:val="Normal"/>
    <w:next w:val="Normal"/>
    <w:link w:val="Heading1Char"/>
    <w:uiPriority w:val="9"/>
    <w:qFormat/>
    <w:rsid w:val="00220E1C"/>
    <w:pPr>
      <w:keepNext/>
      <w:keepLines/>
      <w:spacing w:before="120" w:after="120"/>
      <w:jc w:val="center"/>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277362"/>
    <w:pPr>
      <w:keepNext/>
      <w:keepLines/>
      <w:spacing w:before="120" w:after="12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E608CC"/>
    <w:pPr>
      <w:keepNext/>
      <w:keepLines/>
      <w:numPr>
        <w:numId w:val="18"/>
      </w:numPr>
      <w:spacing w:before="240" w:after="240"/>
      <w:ind w:left="357" w:hanging="357"/>
      <w:outlineLvl w:val="2"/>
    </w:pPr>
    <w:rPr>
      <w:rFonts w:eastAsiaTheme="majorEastAsia" w:cstheme="majorBidi"/>
      <w:b/>
      <w:sz w:val="20"/>
      <w:szCs w:val="24"/>
    </w:rPr>
  </w:style>
  <w:style w:type="paragraph" w:styleId="Heading4">
    <w:name w:val="heading 4"/>
    <w:basedOn w:val="Normal"/>
    <w:next w:val="Normal"/>
    <w:link w:val="Heading4Char"/>
    <w:uiPriority w:val="9"/>
    <w:unhideWhenUsed/>
    <w:qFormat/>
    <w:rsid w:val="001920D2"/>
    <w:pPr>
      <w:keepNext/>
      <w:keepLines/>
      <w:spacing w:before="240" w:after="120"/>
      <w:outlineLvl w:val="3"/>
    </w:pPr>
    <w:rPr>
      <w:rFonts w:eastAsiaTheme="majorEastAsi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A4B"/>
    <w:pPr>
      <w:spacing w:after="120"/>
      <w:ind w:left="720"/>
    </w:pPr>
  </w:style>
  <w:style w:type="paragraph" w:styleId="BalloonText">
    <w:name w:val="Balloon Text"/>
    <w:basedOn w:val="Normal"/>
    <w:link w:val="BalloonTextChar"/>
    <w:uiPriority w:val="99"/>
    <w:semiHidden/>
    <w:unhideWhenUsed/>
    <w:rsid w:val="00E840D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840D3"/>
    <w:rPr>
      <w:rFonts w:ascii="Segoe UI" w:hAnsi="Segoe UI" w:cs="Segoe UI"/>
      <w:sz w:val="18"/>
      <w:szCs w:val="18"/>
    </w:rPr>
  </w:style>
  <w:style w:type="paragraph" w:styleId="Header">
    <w:name w:val="header"/>
    <w:basedOn w:val="Normal"/>
    <w:link w:val="HeaderChar"/>
    <w:unhideWhenUsed/>
    <w:rsid w:val="00B2180A"/>
    <w:pPr>
      <w:tabs>
        <w:tab w:val="center" w:pos="4513"/>
        <w:tab w:val="right" w:pos="9026"/>
      </w:tabs>
      <w:spacing w:after="0" w:line="240" w:lineRule="auto"/>
    </w:pPr>
  </w:style>
  <w:style w:type="character" w:customStyle="1" w:styleId="HeaderChar">
    <w:name w:val="Header Char"/>
    <w:basedOn w:val="DefaultParagraphFont"/>
    <w:link w:val="Header"/>
    <w:rsid w:val="00B2180A"/>
  </w:style>
  <w:style w:type="paragraph" w:styleId="Footer">
    <w:name w:val="footer"/>
    <w:basedOn w:val="Normal"/>
    <w:link w:val="FooterChar"/>
    <w:uiPriority w:val="99"/>
    <w:unhideWhenUsed/>
    <w:rsid w:val="00B21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80A"/>
  </w:style>
  <w:style w:type="character" w:styleId="CommentReference">
    <w:name w:val="annotation reference"/>
    <w:basedOn w:val="DefaultParagraphFont"/>
    <w:uiPriority w:val="99"/>
    <w:semiHidden/>
    <w:unhideWhenUsed/>
    <w:rsid w:val="006426A1"/>
    <w:rPr>
      <w:sz w:val="16"/>
      <w:szCs w:val="16"/>
    </w:rPr>
  </w:style>
  <w:style w:type="paragraph" w:styleId="CommentText">
    <w:name w:val="annotation text"/>
    <w:basedOn w:val="Normal"/>
    <w:link w:val="CommentTextChar"/>
    <w:uiPriority w:val="99"/>
    <w:unhideWhenUsed/>
    <w:rsid w:val="006426A1"/>
    <w:pPr>
      <w:spacing w:line="240" w:lineRule="auto"/>
    </w:pPr>
    <w:rPr>
      <w:sz w:val="20"/>
      <w:szCs w:val="20"/>
    </w:rPr>
  </w:style>
  <w:style w:type="character" w:customStyle="1" w:styleId="CommentTextChar">
    <w:name w:val="Comment Text Char"/>
    <w:basedOn w:val="DefaultParagraphFont"/>
    <w:link w:val="CommentText"/>
    <w:uiPriority w:val="99"/>
    <w:rsid w:val="006426A1"/>
    <w:rPr>
      <w:sz w:val="20"/>
      <w:szCs w:val="20"/>
    </w:rPr>
  </w:style>
  <w:style w:type="paragraph" w:styleId="CommentSubject">
    <w:name w:val="annotation subject"/>
    <w:basedOn w:val="CommentText"/>
    <w:next w:val="CommentText"/>
    <w:link w:val="CommentSubjectChar"/>
    <w:uiPriority w:val="99"/>
    <w:semiHidden/>
    <w:unhideWhenUsed/>
    <w:rsid w:val="006426A1"/>
    <w:rPr>
      <w:b/>
      <w:bCs/>
    </w:rPr>
  </w:style>
  <w:style w:type="character" w:customStyle="1" w:styleId="CommentSubjectChar">
    <w:name w:val="Comment Subject Char"/>
    <w:basedOn w:val="CommentTextChar"/>
    <w:link w:val="CommentSubject"/>
    <w:uiPriority w:val="99"/>
    <w:semiHidden/>
    <w:rsid w:val="006426A1"/>
    <w:rPr>
      <w:b/>
      <w:bCs/>
      <w:sz w:val="20"/>
      <w:szCs w:val="20"/>
    </w:rPr>
  </w:style>
  <w:style w:type="paragraph" w:styleId="Revision">
    <w:name w:val="Revision"/>
    <w:hidden/>
    <w:uiPriority w:val="99"/>
    <w:semiHidden/>
    <w:rsid w:val="00F321DB"/>
    <w:pPr>
      <w:spacing w:after="0" w:line="240" w:lineRule="auto"/>
    </w:pPr>
  </w:style>
  <w:style w:type="paragraph" w:customStyle="1" w:styleId="Default">
    <w:name w:val="Default"/>
    <w:rsid w:val="00B576B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E0B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B15"/>
    <w:rPr>
      <w:sz w:val="20"/>
      <w:szCs w:val="20"/>
    </w:rPr>
  </w:style>
  <w:style w:type="character" w:styleId="FootnoteReference">
    <w:name w:val="footnote reference"/>
    <w:basedOn w:val="DefaultParagraphFont"/>
    <w:uiPriority w:val="99"/>
    <w:semiHidden/>
    <w:unhideWhenUsed/>
    <w:rsid w:val="005E0B15"/>
    <w:rPr>
      <w:vertAlign w:val="superscript"/>
    </w:rPr>
  </w:style>
  <w:style w:type="character" w:customStyle="1" w:styleId="Heading1Char">
    <w:name w:val="Heading 1 Char"/>
    <w:basedOn w:val="DefaultParagraphFont"/>
    <w:link w:val="Heading1"/>
    <w:uiPriority w:val="9"/>
    <w:rsid w:val="00220E1C"/>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27736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E608CC"/>
    <w:rPr>
      <w:rFonts w:ascii="Century Gothic" w:eastAsiaTheme="majorEastAsia" w:hAnsi="Century Gothic" w:cstheme="majorBidi"/>
      <w:b/>
      <w:sz w:val="20"/>
      <w:szCs w:val="24"/>
    </w:rPr>
  </w:style>
  <w:style w:type="character" w:styleId="PlaceholderText">
    <w:name w:val="Placeholder Text"/>
    <w:basedOn w:val="DefaultParagraphFont"/>
    <w:uiPriority w:val="99"/>
    <w:semiHidden/>
    <w:rsid w:val="00A97508"/>
    <w:rPr>
      <w:color w:val="808080"/>
    </w:rPr>
  </w:style>
  <w:style w:type="character" w:customStyle="1" w:styleId="Heading4Char">
    <w:name w:val="Heading 4 Char"/>
    <w:basedOn w:val="DefaultParagraphFont"/>
    <w:link w:val="Heading4"/>
    <w:uiPriority w:val="9"/>
    <w:rsid w:val="001920D2"/>
    <w:rPr>
      <w:rFonts w:ascii="Century Gothic" w:eastAsiaTheme="majorEastAsia" w:hAnsi="Century Gothic" w:cstheme="majorBidi"/>
      <w:b/>
      <w:iCs/>
      <w:sz w:val="20"/>
    </w:rPr>
  </w:style>
  <w:style w:type="paragraph" w:customStyle="1" w:styleId="Tableformentry">
    <w:name w:val="Table form entry"/>
    <w:basedOn w:val="Normal"/>
    <w:link w:val="TableformentryChar"/>
    <w:qFormat/>
    <w:rsid w:val="00514222"/>
    <w:pPr>
      <w:spacing w:before="120" w:after="120" w:line="240" w:lineRule="atLeast"/>
    </w:pPr>
    <w:rPr>
      <w:vanish/>
      <w:color w:val="0072CE"/>
    </w:rPr>
  </w:style>
  <w:style w:type="character" w:customStyle="1" w:styleId="TableformentryChar">
    <w:name w:val="Table form entry Char"/>
    <w:basedOn w:val="DefaultParagraphFont"/>
    <w:link w:val="Tableformentry"/>
    <w:rsid w:val="00514222"/>
    <w:rPr>
      <w:rFonts w:ascii="Century Gothic" w:hAnsi="Century Gothic"/>
      <w:vanish/>
      <w:color w:val="0072CE"/>
      <w:sz w:val="18"/>
    </w:rPr>
  </w:style>
  <w:style w:type="character" w:styleId="Hyperlink">
    <w:name w:val="Hyperlink"/>
    <w:basedOn w:val="DefaultParagraphFont"/>
    <w:uiPriority w:val="99"/>
    <w:semiHidden/>
    <w:unhideWhenUsed/>
    <w:rsid w:val="00742F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TaxCatchAll xmlns="db2b92ca-6ed0-4085-802d-4c686a2e8c3f">
      <Value>4</Value>
    </TaxCatchAll>
    <DocumentNotes xmlns="db2b92ca-6ed0-4085-802d-4c686a2e8c3f" xsi:nil="true"/>
    <NAPReason xmlns="db2b92ca-6ed0-4085-802d-4c686a2e8c3f" xsi:nil="true"/>
    <IconOverlay xmlns="http://schemas.microsoft.com/sharepoint/v4" xsi:nil="true"/>
    <_dlc_DocId xmlns="13b4995e-c937-4112-8622-e4752849dd7e">000231-1523880143-1094</_dlc_DocId>
    <_dlc_DocIdUrl xmlns="13b4995e-c937-4112-8622-e4752849dd7e">
      <Url>https://asiclink.sharepoint.com/teams/000231/_layouts/15/DocIdRedir.aspx?ID=000231-1523880143-1094</Url>
      <Description>000231-1523880143-1094</Description>
    </_dlc_DocIdUrl>
    <lcf76f155ced4ddcb4097134ff3c332f xmlns="f5e23c4b-4760-4143-a714-f5021c8d4f85">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af302855-5de3-48f9-83c2-fc1acc0f760b" ContentTypeId="0x010100B5F685A1365F544391EF8C813B164F3A"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D23F83C373493D49BB9292666294DB9C" ma:contentTypeVersion="31" ma:contentTypeDescription="" ma:contentTypeScope="" ma:versionID="684517f216bcd7a743f2449fed9be194">
  <xsd:schema xmlns:xsd="http://www.w3.org/2001/XMLSchema" xmlns:xs="http://www.w3.org/2001/XMLSchema" xmlns:p="http://schemas.microsoft.com/office/2006/metadata/properties" xmlns:ns2="db2b92ca-6ed0-4085-802d-4c686a2e8c3f" xmlns:ns3="f5e23c4b-4760-4143-a714-f5021c8d4f85" xmlns:ns4="13b4995e-c937-4112-8622-e4752849dd7e" xmlns:ns5="http://schemas.microsoft.com/sharepoint/v4" targetNamespace="http://schemas.microsoft.com/office/2006/metadata/properties" ma:root="true" ma:fieldsID="87cd911a1c10cf3a0bbc589aa75391f0" ns2:_="" ns3:_="" ns4:_="" ns5:_="">
    <xsd:import namespace="db2b92ca-6ed0-4085-802d-4c686a2e8c3f"/>
    <xsd:import namespace="f5e23c4b-4760-4143-a714-f5021c8d4f85"/>
    <xsd:import namespace="13b4995e-c937-4112-8622-e4752849dd7e"/>
    <xsd:import namespace="http://schemas.microsoft.com/sharepoint/v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FastMetadata" minOccurs="0"/>
                <xsd:element ref="ns3:MediaServiceMetadata" minOccurs="0"/>
                <xsd:element ref="ns3:MediaServiceObjectDetectorVersions" minOccurs="0"/>
                <xsd:element ref="ns4:_dlc_DocId" minOccurs="0"/>
                <xsd:element ref="ns4:_dlc_DocIdUrl" minOccurs="0"/>
                <xsd:element ref="ns4:_dlc_DocIdPersistId" minOccurs="0"/>
                <xsd:element ref="ns5: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4c4721b-cfeb-40f6-98e1-cf1d1d97bfd5}" ma:internalName="TaxCatchAll" ma:showField="CatchAllData" ma:web="13b4995e-c937-4112-8622-e4752849dd7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4c4721b-cfeb-40f6-98e1-cf1d1d97bfd5}" ma:internalName="TaxCatchAllLabel" ma:readOnly="true" ma:showField="CatchAllDataLabel" ma:web="13b4995e-c937-4112-8622-e4752849dd7e">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23c4b-4760-4143-a714-f5021c8d4f85" elementFormDefault="qualified">
    <xsd:import namespace="http://schemas.microsoft.com/office/2006/documentManagement/types"/>
    <xsd:import namespace="http://schemas.microsoft.com/office/infopath/2007/PartnerControls"/>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302855-5de3-48f9-83c2-fc1acc0f760b" ma:termSetId="09814cd3-568e-fe90-9814-8d621ff8fb84" ma:anchorId="fba54fb3-c3e1-fe81-a776-ca4b69148c4d" ma:open="true" ma:isKeyword="false">
      <xsd:complexType>
        <xsd:sequence>
          <xsd:element ref="pc:Terms" minOccurs="0" maxOccurs="1"/>
        </xsd:sequence>
      </xsd:complexType>
    </xsd:element>
    <xsd:element name="MediaServiceFastMetadata" ma:index="22" nillable="true" ma:displayName="MediaServiceFastMetadata" ma:hidden="true" ma:internalName="MediaServiceFastMetadata" ma:readOnly="true">
      <xsd:simpleType>
        <xsd:restriction base="dms:Note"/>
      </xsd:simpleType>
    </xsd:element>
    <xsd:element name="MediaServiceMetadata" ma:index="23" nillable="true" ma:displayName="MediaServiceMetadata" ma:hidden="true" ma:internalName="MediaService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4995e-c937-4112-8622-e4752849dd7e"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5F3839BB-0BC6-4606-A2EA-1481DCDF65B3}">
  <ds:schemaRefs>
    <ds:schemaRef ds:uri="f5e23c4b-4760-4143-a714-f5021c8d4f85"/>
    <ds:schemaRef ds:uri="http://purl.org/dc/elements/1.1/"/>
    <ds:schemaRef ds:uri="http://schemas.microsoft.com/office/2006/metadata/properties"/>
    <ds:schemaRef ds:uri="http://schemas.microsoft.com/office/2006/documentManagement/types"/>
    <ds:schemaRef ds:uri="http://purl.org/dc/terms/"/>
    <ds:schemaRef ds:uri="http://schemas.microsoft.com/sharepoint/v4"/>
    <ds:schemaRef ds:uri="db2b92ca-6ed0-4085-802d-4c686a2e8c3f"/>
    <ds:schemaRef ds:uri="http://purl.org/dc/dcmitype/"/>
    <ds:schemaRef ds:uri="http://schemas.microsoft.com/office/infopath/2007/PartnerControls"/>
    <ds:schemaRef ds:uri="http://schemas.openxmlformats.org/package/2006/metadata/core-properties"/>
    <ds:schemaRef ds:uri="13b4995e-c937-4112-8622-e4752849dd7e"/>
    <ds:schemaRef ds:uri="http://www.w3.org/XML/1998/namespace"/>
  </ds:schemaRefs>
</ds:datastoreItem>
</file>

<file path=customXml/itemProps2.xml><?xml version="1.0" encoding="utf-8"?>
<ds:datastoreItem xmlns:ds="http://schemas.openxmlformats.org/officeDocument/2006/customXml" ds:itemID="{4C86B5DF-F649-4181-ADE8-66A02CFCBB44}">
  <ds:schemaRefs>
    <ds:schemaRef ds:uri="Microsoft.SharePoint.Taxonomy.ContentTypeSync"/>
  </ds:schemaRefs>
</ds:datastoreItem>
</file>

<file path=customXml/itemProps3.xml><?xml version="1.0" encoding="utf-8"?>
<ds:datastoreItem xmlns:ds="http://schemas.openxmlformats.org/officeDocument/2006/customXml" ds:itemID="{2D6F6E79-E38F-4AA0-8893-AADB71FC877F}">
  <ds:schemaRefs>
    <ds:schemaRef ds:uri="http://schemas.microsoft.com/sharepoint/events"/>
  </ds:schemaRefs>
</ds:datastoreItem>
</file>

<file path=customXml/itemProps4.xml><?xml version="1.0" encoding="utf-8"?>
<ds:datastoreItem xmlns:ds="http://schemas.openxmlformats.org/officeDocument/2006/customXml" ds:itemID="{D25DF270-5139-4713-A3C0-FC12C5A48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f5e23c4b-4760-4143-a714-f5021c8d4f85"/>
    <ds:schemaRef ds:uri="13b4995e-c937-4112-8622-e4752849dd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E10E45-93A3-4228-A733-F702FE3B5A5D}">
  <ds:schemaRefs>
    <ds:schemaRef ds:uri="http://schemas.openxmlformats.org/officeDocument/2006/bibliography"/>
  </ds:schemaRefs>
</ds:datastoreItem>
</file>

<file path=customXml/itemProps6.xml><?xml version="1.0" encoding="utf-8"?>
<ds:datastoreItem xmlns:ds="http://schemas.openxmlformats.org/officeDocument/2006/customXml" ds:itemID="{57F34243-BFDF-42CD-9611-994A509F6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1093</Words>
  <Characters>5794</Characters>
  <Application>Microsoft Office Word</Application>
  <DocSecurity>0</DocSecurity>
  <Lines>222</Lines>
  <Paragraphs>146</Paragraphs>
  <ScaleCrop>false</ScaleCrop>
  <HeadingPairs>
    <vt:vector size="2" baseType="variant">
      <vt:variant>
        <vt:lpstr>Title</vt:lpstr>
      </vt:variant>
      <vt:variant>
        <vt:i4>1</vt:i4>
      </vt:variant>
    </vt:vector>
  </HeadingPairs>
  <TitlesOfParts>
    <vt:vector size="1" baseType="lpstr">
      <vt:lpstr>Restructuring proposal statement</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Restructuring proposal statement</dc:title>
  <dc:subject>Restructuring proposal statement</dc:subject>
  <dc:creator>ASIC</dc:creator>
  <cp:keywords>Restructuring proposal statement</cp:keywords>
  <dc:description/>
  <cp:lastModifiedBy>Cassie Murphy</cp:lastModifiedBy>
  <cp:revision>3</cp:revision>
  <dcterms:created xsi:type="dcterms:W3CDTF">2024-11-27T00:52:00Z</dcterms:created>
  <dcterms:modified xsi:type="dcterms:W3CDTF">2024-11-27T00:53:00Z</dcterms:modified>
  <cp:category>statement</cp:category>
</cp:coreProperties>
</file>