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5DB8" w14:textId="77777777" w:rsidR="00DD0E95" w:rsidRPr="00DD0E95" w:rsidRDefault="00DD0E95" w:rsidP="00DD0E95">
      <w:pPr>
        <w:keepNext/>
        <w:keepLines/>
        <w:spacing w:before="360" w:after="480" w:line="240" w:lineRule="atLeast"/>
        <w:outlineLvl w:val="0"/>
        <w:rPr>
          <w:rFonts w:eastAsiaTheme="majorEastAsia" w:cstheme="majorBidi"/>
          <w:b/>
          <w:sz w:val="32"/>
          <w:szCs w:val="32"/>
        </w:rPr>
      </w:pPr>
      <w:bookmarkStart w:id="0" w:name="_Hlk60225538"/>
      <w:r w:rsidRPr="00DD0E95">
        <w:rPr>
          <w:rFonts w:eastAsiaTheme="majorEastAsia" w:cs="Arial"/>
          <w:b/>
          <w:color w:val="000000"/>
          <w:sz w:val="23"/>
          <w:szCs w:val="23"/>
        </w:rPr>
        <w:t>Australian Securities &amp; Investments Commission</w:t>
      </w:r>
    </w:p>
    <w:p w14:paraId="34CB55A0" w14:textId="17F1B1B3" w:rsidR="004305C9" w:rsidRPr="00812E92" w:rsidRDefault="004305C9" w:rsidP="00812E92">
      <w:pPr>
        <w:pStyle w:val="Heading1"/>
        <w:spacing w:before="360" w:after="480" w:line="240" w:lineRule="atLeast"/>
        <w:jc w:val="left"/>
        <w:rPr>
          <w:rFonts w:ascii="Century Gothic" w:hAnsi="Century Gothic"/>
          <w:sz w:val="32"/>
        </w:rPr>
      </w:pPr>
      <w:r w:rsidRPr="00812E92">
        <w:rPr>
          <w:rFonts w:ascii="Century Gothic" w:hAnsi="Century Gothic"/>
          <w:sz w:val="32"/>
        </w:rPr>
        <w:t xml:space="preserve">Restructuring </w:t>
      </w:r>
      <w:r w:rsidR="00D05764">
        <w:rPr>
          <w:rFonts w:ascii="Century Gothic" w:hAnsi="Century Gothic"/>
          <w:sz w:val="32"/>
        </w:rPr>
        <w:t>p</w:t>
      </w:r>
      <w:r w:rsidRPr="00812E92">
        <w:rPr>
          <w:rFonts w:ascii="Century Gothic" w:hAnsi="Century Gothic"/>
          <w:sz w:val="32"/>
        </w:rPr>
        <w:t xml:space="preserve">lan </w:t>
      </w:r>
      <w:r w:rsidR="00D05764">
        <w:rPr>
          <w:rFonts w:ascii="Century Gothic" w:hAnsi="Century Gothic"/>
          <w:sz w:val="32"/>
        </w:rPr>
        <w:t>s</w:t>
      </w:r>
      <w:r w:rsidRPr="00812E92">
        <w:rPr>
          <w:rFonts w:ascii="Century Gothic" w:hAnsi="Century Gothic"/>
          <w:sz w:val="32"/>
        </w:rPr>
        <w:t xml:space="preserve">tandard </w:t>
      </w:r>
      <w:r w:rsidR="00D05764">
        <w:rPr>
          <w:rFonts w:ascii="Century Gothic" w:hAnsi="Century Gothic"/>
          <w:sz w:val="32"/>
        </w:rPr>
        <w:t>t</w:t>
      </w:r>
      <w:r w:rsidRPr="00812E92">
        <w:rPr>
          <w:rFonts w:ascii="Century Gothic" w:hAnsi="Century Gothic"/>
          <w:sz w:val="32"/>
        </w:rPr>
        <w:t xml:space="preserve">erms </w:t>
      </w:r>
    </w:p>
    <w:bookmarkEnd w:id="0"/>
    <w:p w14:paraId="43E6D014" w14:textId="30CCA5BF" w:rsidR="00B11254" w:rsidRPr="00B11254" w:rsidRDefault="00B11254" w:rsidP="00B11254">
      <w:pPr>
        <w:spacing w:after="200" w:line="240" w:lineRule="atLeast"/>
        <w:jc w:val="right"/>
      </w:pPr>
      <w:r w:rsidRPr="00B11254">
        <w:rPr>
          <w:i/>
          <w:iCs/>
        </w:rPr>
        <w:t>Corporations Act 2001, s</w:t>
      </w:r>
      <w:r w:rsidRPr="00B11254">
        <w:t>455B</w:t>
      </w:r>
      <w:r w:rsidRPr="00B11254">
        <w:rPr>
          <w:i/>
          <w:iCs/>
        </w:rPr>
        <w:br/>
        <w:t xml:space="preserve">Corporations Regulations 2001, </w:t>
      </w:r>
      <w:r w:rsidRPr="00B11254">
        <w:t>reg 5.3B.</w:t>
      </w:r>
      <w:r>
        <w:t>27</w:t>
      </w:r>
    </w:p>
    <w:p w14:paraId="77A09C3C" w14:textId="77777777" w:rsidR="004305C9" w:rsidRPr="005648A4" w:rsidRDefault="004305C9" w:rsidP="004305C9">
      <w:r w:rsidRPr="005648A4">
        <w:t>A restructuring plan made by a company is taken to include all the following terms:</w:t>
      </w:r>
    </w:p>
    <w:p w14:paraId="6796A414" w14:textId="77777777" w:rsidR="004305C9" w:rsidRPr="005648A4" w:rsidRDefault="004305C9" w:rsidP="00812E92">
      <w:pPr>
        <w:numPr>
          <w:ilvl w:val="0"/>
          <w:numId w:val="19"/>
        </w:numPr>
      </w:pPr>
      <w:r w:rsidRPr="005648A4">
        <w:t>all admissible debts and claims rank equally;</w:t>
      </w:r>
    </w:p>
    <w:p w14:paraId="19217DE4" w14:textId="77777777" w:rsidR="004305C9" w:rsidRPr="005648A4" w:rsidRDefault="004305C9" w:rsidP="00812E92">
      <w:pPr>
        <w:numPr>
          <w:ilvl w:val="0"/>
          <w:numId w:val="19"/>
        </w:numPr>
      </w:pPr>
      <w:r w:rsidRPr="005648A4">
        <w:t>if the total amount paid by the company under the plan in respect of those debts or claims is insufficient to meet those debts or claims in full, those debts or claims will be paid proportionately;</w:t>
      </w:r>
    </w:p>
    <w:p w14:paraId="34E75983" w14:textId="77777777" w:rsidR="004305C9" w:rsidRPr="005648A4" w:rsidRDefault="004305C9" w:rsidP="00812E92">
      <w:pPr>
        <w:numPr>
          <w:ilvl w:val="0"/>
          <w:numId w:val="19"/>
        </w:numPr>
      </w:pPr>
      <w:r w:rsidRPr="005648A4">
        <w:t>a creditor is not entitled to receive, in respect of an admissible debt or claim, more than the amount of the debt or claim;</w:t>
      </w:r>
    </w:p>
    <w:p w14:paraId="2A61CD95" w14:textId="77777777" w:rsidR="004305C9" w:rsidRPr="005648A4" w:rsidRDefault="004305C9" w:rsidP="00812E92">
      <w:pPr>
        <w:numPr>
          <w:ilvl w:val="0"/>
          <w:numId w:val="19"/>
        </w:numPr>
      </w:pPr>
      <w:r w:rsidRPr="005648A4">
        <w:t>the amount of an admissible debt or claim will be ascertained as at the time immediately before the restructuring began; and</w:t>
      </w:r>
    </w:p>
    <w:p w14:paraId="0518A28D" w14:textId="77777777" w:rsidR="004305C9" w:rsidRPr="005648A4" w:rsidRDefault="004305C9" w:rsidP="00812E92">
      <w:pPr>
        <w:numPr>
          <w:ilvl w:val="0"/>
          <w:numId w:val="19"/>
        </w:numPr>
      </w:pPr>
      <w:r w:rsidRPr="005648A4">
        <w:t>if a creditor is a secured creditor:</w:t>
      </w:r>
    </w:p>
    <w:p w14:paraId="1D20B166" w14:textId="0DE27928" w:rsidR="004305C9" w:rsidRPr="005648A4" w:rsidRDefault="004305C9" w:rsidP="00812E92">
      <w:pPr>
        <w:numPr>
          <w:ilvl w:val="1"/>
          <w:numId w:val="19"/>
        </w:numPr>
      </w:pPr>
      <w:r w:rsidRPr="00D001BC">
        <w:t>if</w:t>
      </w:r>
      <w:r w:rsidRPr="00B514BB">
        <w:t xml:space="preserve"> the credito</w:t>
      </w:r>
      <w:r w:rsidRPr="005648A4">
        <w:t>r does not realise the creditor</w:t>
      </w:r>
      <w:r w:rsidR="004C4920">
        <w:t>’</w:t>
      </w:r>
      <w:r w:rsidRPr="005648A4">
        <w:t>s security interest while the plan is in force, the creditor is taken, for the purposes of working out the amount payable to the creditor under the plan, to be a creditor only to the extent (if any) by which the amount of the creditor</w:t>
      </w:r>
      <w:r w:rsidR="004C4920">
        <w:t>’</w:t>
      </w:r>
      <w:r w:rsidRPr="005648A4">
        <w:t>s admissible debt or claim exceeds the value of the creditor</w:t>
      </w:r>
      <w:r w:rsidR="004C4920">
        <w:t>’</w:t>
      </w:r>
      <w:r w:rsidRPr="005648A4">
        <w:t>s security interest; and</w:t>
      </w:r>
    </w:p>
    <w:p w14:paraId="0A42560C" w14:textId="1AA8AF89" w:rsidR="004305C9" w:rsidRPr="005648A4" w:rsidRDefault="004305C9" w:rsidP="00812E92">
      <w:pPr>
        <w:numPr>
          <w:ilvl w:val="1"/>
          <w:numId w:val="19"/>
        </w:numPr>
      </w:pPr>
      <w:r w:rsidRPr="00D001BC">
        <w:t>if</w:t>
      </w:r>
      <w:r w:rsidRPr="00B514BB">
        <w:t xml:space="preserve"> th</w:t>
      </w:r>
      <w:r w:rsidRPr="005648A4">
        <w:t>e creditor realises the creditor</w:t>
      </w:r>
      <w:r w:rsidR="004C4920">
        <w:t>’</w:t>
      </w:r>
      <w:r w:rsidRPr="005648A4">
        <w:t>s security interest while the plan is in force, the creditor is taken, for the purposes of working out the amount payable to the creditor under the plan, to be a creditor only to the extent of any balance due to the creditor after deducting the net amount realised.</w:t>
      </w:r>
    </w:p>
    <w:p w14:paraId="78339FE4" w14:textId="10DB1C84" w:rsidR="000C1B6D" w:rsidRPr="00B85FAB" w:rsidRDefault="004305C9" w:rsidP="00812E92">
      <w:pPr>
        <w:pStyle w:val="Note"/>
        <w:rPr>
          <w:b/>
          <w:bCs/>
        </w:rPr>
      </w:pPr>
      <w:r w:rsidRPr="00B85FAB">
        <w:t xml:space="preserve">Note: A restructuring plan is void to the extent that it is inconsistent with any of the matters set out above. </w:t>
      </w:r>
    </w:p>
    <w:sectPr w:rsidR="000C1B6D" w:rsidRPr="00B85FAB" w:rsidSect="006119FB">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183B" w14:textId="77777777" w:rsidR="00567F3C" w:rsidRDefault="00567F3C" w:rsidP="00B2180A">
      <w:pPr>
        <w:spacing w:after="0" w:line="240" w:lineRule="auto"/>
      </w:pPr>
      <w:r>
        <w:separator/>
      </w:r>
    </w:p>
  </w:endnote>
  <w:endnote w:type="continuationSeparator" w:id="0">
    <w:p w14:paraId="40C7688D" w14:textId="77777777" w:rsidR="00567F3C" w:rsidRDefault="00567F3C" w:rsidP="00B2180A">
      <w:pPr>
        <w:spacing w:after="0" w:line="240" w:lineRule="auto"/>
      </w:pPr>
      <w:r>
        <w:continuationSeparator/>
      </w:r>
    </w:p>
  </w:endnote>
  <w:endnote w:type="continuationNotice" w:id="1">
    <w:p w14:paraId="2EC86590" w14:textId="77777777" w:rsidR="00567F3C" w:rsidRDefault="00567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140028"/>
      <w:docPartObj>
        <w:docPartGallery w:val="Page Numbers (Bottom of Page)"/>
        <w:docPartUnique/>
      </w:docPartObj>
    </w:sdtPr>
    <w:sdtEndPr>
      <w:rPr>
        <w:color w:val="2F5496" w:themeColor="accent1" w:themeShade="BF"/>
        <w:sz w:val="20"/>
        <w:szCs w:val="20"/>
      </w:rPr>
    </w:sdtEndPr>
    <w:sdtContent>
      <w:sdt>
        <w:sdtPr>
          <w:id w:val="-1769616900"/>
          <w:docPartObj>
            <w:docPartGallery w:val="Page Numbers (Top of Page)"/>
            <w:docPartUnique/>
          </w:docPartObj>
        </w:sdtPr>
        <w:sdtEndPr>
          <w:rPr>
            <w:color w:val="2F5496" w:themeColor="accent1" w:themeShade="BF"/>
            <w:sz w:val="20"/>
            <w:szCs w:val="20"/>
          </w:rPr>
        </w:sdtEndPr>
        <w:sdtContent>
          <w:p w14:paraId="18EFD1DD" w14:textId="05437ADD" w:rsidR="009334DC" w:rsidRPr="005D292C" w:rsidRDefault="005D292C" w:rsidP="006119FB">
            <w:pPr>
              <w:pStyle w:val="Footer"/>
              <w:tabs>
                <w:tab w:val="clear" w:pos="4513"/>
              </w:tabs>
              <w:rPr>
                <w:color w:val="2F5496" w:themeColor="accent1" w:themeShade="BF"/>
              </w:rPr>
            </w:pPr>
            <w:r>
              <w:tab/>
            </w:r>
            <w:r w:rsidR="009334DC" w:rsidRPr="005D292C">
              <w:rPr>
                <w:color w:val="2F5496" w:themeColor="accent1" w:themeShade="BF"/>
                <w:sz w:val="20"/>
                <w:szCs w:val="20"/>
              </w:rPr>
              <w:t xml:space="preserve">Page </w:t>
            </w:r>
            <w:r w:rsidR="009334DC" w:rsidRPr="005D292C">
              <w:rPr>
                <w:b/>
                <w:bCs/>
                <w:color w:val="2F5496" w:themeColor="accent1" w:themeShade="BF"/>
                <w:sz w:val="20"/>
                <w:szCs w:val="20"/>
              </w:rPr>
              <w:fldChar w:fldCharType="begin"/>
            </w:r>
            <w:r w:rsidR="009334DC" w:rsidRPr="005D292C">
              <w:rPr>
                <w:b/>
                <w:bCs/>
                <w:color w:val="2F5496" w:themeColor="accent1" w:themeShade="BF"/>
                <w:sz w:val="20"/>
                <w:szCs w:val="20"/>
              </w:rPr>
              <w:instrText xml:space="preserve"> PAGE </w:instrText>
            </w:r>
            <w:r w:rsidR="009334DC" w:rsidRPr="005D292C">
              <w:rPr>
                <w:b/>
                <w:bCs/>
                <w:color w:val="2F5496" w:themeColor="accent1" w:themeShade="BF"/>
                <w:sz w:val="20"/>
                <w:szCs w:val="20"/>
              </w:rPr>
              <w:fldChar w:fldCharType="separate"/>
            </w:r>
            <w:r w:rsidR="009334DC" w:rsidRPr="005D292C">
              <w:rPr>
                <w:b/>
                <w:bCs/>
                <w:noProof/>
                <w:color w:val="2F5496" w:themeColor="accent1" w:themeShade="BF"/>
                <w:sz w:val="20"/>
                <w:szCs w:val="20"/>
              </w:rPr>
              <w:t>2</w:t>
            </w:r>
            <w:r w:rsidR="009334DC" w:rsidRPr="005D292C">
              <w:rPr>
                <w:b/>
                <w:bCs/>
                <w:color w:val="2F5496" w:themeColor="accent1" w:themeShade="BF"/>
                <w:sz w:val="20"/>
                <w:szCs w:val="20"/>
              </w:rPr>
              <w:fldChar w:fldCharType="end"/>
            </w:r>
            <w:r w:rsidR="009334DC" w:rsidRPr="005D292C">
              <w:rPr>
                <w:color w:val="2F5496" w:themeColor="accent1" w:themeShade="BF"/>
                <w:sz w:val="20"/>
                <w:szCs w:val="20"/>
              </w:rPr>
              <w:t xml:space="preserve"> of </w:t>
            </w:r>
            <w:r w:rsidR="009334DC" w:rsidRPr="005D292C">
              <w:rPr>
                <w:b/>
                <w:bCs/>
                <w:color w:val="2F5496" w:themeColor="accent1" w:themeShade="BF"/>
                <w:sz w:val="20"/>
                <w:szCs w:val="20"/>
              </w:rPr>
              <w:fldChar w:fldCharType="begin"/>
            </w:r>
            <w:r w:rsidR="009334DC" w:rsidRPr="005D292C">
              <w:rPr>
                <w:b/>
                <w:bCs/>
                <w:color w:val="2F5496" w:themeColor="accent1" w:themeShade="BF"/>
                <w:sz w:val="20"/>
                <w:szCs w:val="20"/>
              </w:rPr>
              <w:instrText xml:space="preserve"> NUMPAGES  </w:instrText>
            </w:r>
            <w:r w:rsidR="009334DC" w:rsidRPr="005D292C">
              <w:rPr>
                <w:b/>
                <w:bCs/>
                <w:color w:val="2F5496" w:themeColor="accent1" w:themeShade="BF"/>
                <w:sz w:val="20"/>
                <w:szCs w:val="20"/>
              </w:rPr>
              <w:fldChar w:fldCharType="separate"/>
            </w:r>
            <w:r w:rsidR="009334DC" w:rsidRPr="005D292C">
              <w:rPr>
                <w:b/>
                <w:bCs/>
                <w:noProof/>
                <w:color w:val="2F5496" w:themeColor="accent1" w:themeShade="BF"/>
                <w:sz w:val="20"/>
                <w:szCs w:val="20"/>
              </w:rPr>
              <w:t>2</w:t>
            </w:r>
            <w:r w:rsidR="009334DC" w:rsidRPr="005D292C">
              <w:rPr>
                <w:b/>
                <w:bCs/>
                <w:color w:val="2F5496" w:themeColor="accent1" w:themeShade="BF"/>
                <w:sz w:val="20"/>
                <w:szCs w:val="20"/>
              </w:rPr>
              <w:fldChar w:fldCharType="end"/>
            </w:r>
          </w:p>
        </w:sdtContent>
      </w:sdt>
    </w:sdtContent>
  </w:sdt>
  <w:p w14:paraId="4CA6FE96" w14:textId="77777777" w:rsidR="009334DC" w:rsidRDefault="00933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913A" w14:textId="558332DD" w:rsidR="003F3221" w:rsidRDefault="003F3221" w:rsidP="00812E92">
    <w:pPr>
      <w:tabs>
        <w:tab w:val="center" w:pos="4513"/>
        <w:tab w:val="right" w:pos="9026"/>
      </w:tabs>
      <w:spacing w:after="0" w:line="240" w:lineRule="auto"/>
    </w:pPr>
    <w:r w:rsidRPr="003F3221">
      <w:rPr>
        <w:color w:val="0072CE"/>
      </w:rPr>
      <w:t>© Australian Securities and Investments Commission November 2024</w:t>
    </w:r>
    <w:r w:rsidRPr="003F3221">
      <w:rPr>
        <w:color w:val="0072CE"/>
      </w:rPr>
      <w:tab/>
      <w:t xml:space="preserve">Page </w:t>
    </w:r>
    <w:r w:rsidRPr="003F3221">
      <w:rPr>
        <w:color w:val="0072CE"/>
      </w:rPr>
      <w:fldChar w:fldCharType="begin"/>
    </w:r>
    <w:r w:rsidRPr="003F3221">
      <w:rPr>
        <w:color w:val="0072CE"/>
      </w:rPr>
      <w:instrText xml:space="preserve"> PAGE  \* Arabic  \* MERGEFORMAT </w:instrText>
    </w:r>
    <w:r w:rsidRPr="003F3221">
      <w:rPr>
        <w:color w:val="0072CE"/>
      </w:rPr>
      <w:fldChar w:fldCharType="separate"/>
    </w:r>
    <w:r w:rsidRPr="003F3221">
      <w:rPr>
        <w:color w:val="0072CE"/>
      </w:rPr>
      <w:t>1</w:t>
    </w:r>
    <w:r w:rsidRPr="003F3221">
      <w:rPr>
        <w:color w:val="0072C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F2319" w14:textId="77777777" w:rsidR="00567F3C" w:rsidRDefault="00567F3C" w:rsidP="00B2180A">
      <w:pPr>
        <w:spacing w:after="0" w:line="240" w:lineRule="auto"/>
      </w:pPr>
      <w:r>
        <w:separator/>
      </w:r>
    </w:p>
  </w:footnote>
  <w:footnote w:type="continuationSeparator" w:id="0">
    <w:p w14:paraId="5F5B92D1" w14:textId="77777777" w:rsidR="00567F3C" w:rsidRDefault="00567F3C" w:rsidP="00B2180A">
      <w:pPr>
        <w:spacing w:after="0" w:line="240" w:lineRule="auto"/>
      </w:pPr>
      <w:r>
        <w:continuationSeparator/>
      </w:r>
    </w:p>
  </w:footnote>
  <w:footnote w:type="continuationNotice" w:id="1">
    <w:p w14:paraId="70449200" w14:textId="77777777" w:rsidR="00567F3C" w:rsidRDefault="00567F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8821" w14:textId="77777777" w:rsidR="004305C9" w:rsidRDefault="004305C9" w:rsidP="004305C9">
    <w:pPr>
      <w:pStyle w:val="Header"/>
      <w:jc w:val="right"/>
      <w:rPr>
        <w:color w:val="2F5496" w:themeColor="accent1" w:themeShade="BF"/>
        <w:sz w:val="20"/>
        <w:szCs w:val="20"/>
      </w:rPr>
    </w:pPr>
    <w:r>
      <w:rPr>
        <w:color w:val="2F5496" w:themeColor="accent1" w:themeShade="BF"/>
        <w:sz w:val="20"/>
        <w:szCs w:val="20"/>
      </w:rPr>
      <w:t xml:space="preserve">Restructuring Plan – Standard terms </w:t>
    </w:r>
  </w:p>
  <w:p w14:paraId="4928473C" w14:textId="77777777" w:rsidR="004305C9" w:rsidRDefault="004305C9" w:rsidP="004305C9">
    <w:pPr>
      <w:pStyle w:val="Header"/>
      <w:jc w:val="right"/>
      <w:rPr>
        <w:color w:val="2F5496" w:themeColor="accent1" w:themeShade="BF"/>
        <w:sz w:val="20"/>
        <w:szCs w:val="20"/>
      </w:rPr>
    </w:pPr>
    <w:r>
      <w:rPr>
        <w:color w:val="2F5496" w:themeColor="accent1" w:themeShade="BF"/>
        <w:sz w:val="20"/>
        <w:szCs w:val="20"/>
      </w:rPr>
      <w:t>Section 455B</w:t>
    </w:r>
  </w:p>
  <w:p w14:paraId="40C05BFD" w14:textId="5DFEBFF4" w:rsidR="009334DC" w:rsidRPr="004305C9" w:rsidRDefault="004305C9" w:rsidP="004305C9">
    <w:pPr>
      <w:ind w:left="720"/>
      <w:jc w:val="right"/>
    </w:pPr>
    <w:r w:rsidRPr="007A48DF">
      <w:rPr>
        <w:sz w:val="20"/>
        <w:szCs w:val="20"/>
      </w:rPr>
      <w:t>Reg 5.3B.27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9ABC" w14:textId="69D773CA" w:rsidR="004305C9" w:rsidRPr="001019A3" w:rsidRDefault="004305C9" w:rsidP="004305C9">
    <w:pP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E79"/>
    <w:multiLevelType w:val="hybridMultilevel"/>
    <w:tmpl w:val="D2964C30"/>
    <w:lvl w:ilvl="0" w:tplc="0980B9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F219D"/>
    <w:multiLevelType w:val="hybridMultilevel"/>
    <w:tmpl w:val="6B82DD90"/>
    <w:lvl w:ilvl="0" w:tplc="7E20F888">
      <w:start w:val="1"/>
      <w:numFmt w:val="lowerLetter"/>
      <w:lvlText w:val="(%1)"/>
      <w:lvlJc w:val="left"/>
      <w:pPr>
        <w:ind w:left="720" w:hanging="360"/>
      </w:pPr>
      <w:rPr>
        <w:rFonts w:ascii="Times New Roman" w:eastAsia="Times New Roman" w:hAnsi="Times New Roman" w:hint="default"/>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4346CA"/>
    <w:multiLevelType w:val="hybridMultilevel"/>
    <w:tmpl w:val="FD5686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944F44"/>
    <w:multiLevelType w:val="hybridMultilevel"/>
    <w:tmpl w:val="54CC6E74"/>
    <w:lvl w:ilvl="0" w:tplc="44B09D98">
      <w:start w:val="1"/>
      <w:numFmt w:val="lowerRoman"/>
      <w:lvlText w:val="(%1)"/>
      <w:lvlJc w:val="left"/>
      <w:pPr>
        <w:ind w:left="720" w:hanging="360"/>
      </w:pPr>
      <w:rPr>
        <w:rFonts w:ascii="Times New Roman" w:eastAsia="Times New Roman" w:hAnsi="Times New Roman" w:hint="default"/>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FB0DAF"/>
    <w:multiLevelType w:val="hybridMultilevel"/>
    <w:tmpl w:val="8334C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410511"/>
    <w:multiLevelType w:val="hybridMultilevel"/>
    <w:tmpl w:val="0CBE10F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617CC7"/>
    <w:multiLevelType w:val="hybridMultilevel"/>
    <w:tmpl w:val="89283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EF32C0"/>
    <w:multiLevelType w:val="hybridMultilevel"/>
    <w:tmpl w:val="56CC3140"/>
    <w:lvl w:ilvl="0" w:tplc="0980B99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155304"/>
    <w:multiLevelType w:val="hybridMultilevel"/>
    <w:tmpl w:val="ECC25DC2"/>
    <w:lvl w:ilvl="0" w:tplc="0980B990">
      <w:start w:val="1"/>
      <w:numFmt w:val="lowerLetter"/>
      <w:lvlText w:val="%1."/>
      <w:lvlJc w:val="left"/>
      <w:pPr>
        <w:ind w:left="768" w:hanging="360"/>
      </w:pPr>
      <w:rPr>
        <w:rFonts w:hint="default"/>
      </w:r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9" w15:restartNumberingAfterBreak="0">
    <w:nsid w:val="3A0F0A31"/>
    <w:multiLevelType w:val="hybridMultilevel"/>
    <w:tmpl w:val="4BEC3368"/>
    <w:lvl w:ilvl="0" w:tplc="18305FD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7F0463"/>
    <w:multiLevelType w:val="multilevel"/>
    <w:tmpl w:val="494C5C0E"/>
    <w:lvl w:ilvl="0">
      <w:start w:val="1"/>
      <w:numFmt w:val="lowerLetter"/>
      <w:lvlText w:val="(%1)"/>
      <w:lvlJc w:val="left"/>
      <w:pPr>
        <w:ind w:left="425" w:hanging="425"/>
      </w:pPr>
      <w:rPr>
        <w:rFonts w:ascii="Century Gothic" w:hAnsi="Century Gothic" w:hint="default"/>
        <w:w w:val="99"/>
        <w:sz w:val="18"/>
        <w:szCs w:val="20"/>
      </w:rPr>
    </w:lvl>
    <w:lvl w:ilvl="1">
      <w:start w:val="1"/>
      <w:numFmt w:val="lowerRoman"/>
      <w:lvlText w:val="(%2)"/>
      <w:lvlJc w:val="left"/>
      <w:pPr>
        <w:ind w:left="850" w:hanging="425"/>
      </w:pPr>
      <w:rPr>
        <w:rFonts w:hint="default"/>
        <w:sz w:val="18"/>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1" w15:restartNumberingAfterBreak="0">
    <w:nsid w:val="443D20E5"/>
    <w:multiLevelType w:val="hybridMultilevel"/>
    <w:tmpl w:val="2132F4DE"/>
    <w:lvl w:ilvl="0" w:tplc="807211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EA7C41"/>
    <w:multiLevelType w:val="hybridMultilevel"/>
    <w:tmpl w:val="48986010"/>
    <w:lvl w:ilvl="0" w:tplc="5BA41B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221FF0"/>
    <w:multiLevelType w:val="hybridMultilevel"/>
    <w:tmpl w:val="C69E18A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6A06488"/>
    <w:multiLevelType w:val="multilevel"/>
    <w:tmpl w:val="10C262D2"/>
    <w:lvl w:ilvl="0">
      <w:start w:val="1"/>
      <w:numFmt w:val="lowerLetter"/>
      <w:lvlText w:val="%1)"/>
      <w:lvlJc w:val="left"/>
      <w:pPr>
        <w:ind w:left="425" w:hanging="425"/>
      </w:pPr>
      <w:rPr>
        <w:rFonts w:ascii="Century Gothic" w:hAnsi="Century Gothic" w:hint="default"/>
        <w:w w:val="99"/>
        <w:sz w:val="18"/>
        <w:szCs w:val="20"/>
      </w:rPr>
    </w:lvl>
    <w:lvl w:ilvl="1">
      <w:start w:val="1"/>
      <w:numFmt w:val="lowerLetter"/>
      <w:lvlText w:val="%2."/>
      <w:lvlJc w:val="left"/>
      <w:pPr>
        <w:ind w:left="850" w:hanging="425"/>
      </w:pPr>
      <w:rPr>
        <w:rFonts w:hint="default"/>
      </w:rPr>
    </w:lvl>
    <w:lvl w:ilvl="2">
      <w:start w:val="1"/>
      <w:numFmt w:val="lowerRoman"/>
      <w:lvlText w:val="%3."/>
      <w:lvlJc w:val="righ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5" w15:restartNumberingAfterBreak="0">
    <w:nsid w:val="72197D78"/>
    <w:multiLevelType w:val="hybridMultilevel"/>
    <w:tmpl w:val="E3FCDFD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096183"/>
    <w:multiLevelType w:val="hybridMultilevel"/>
    <w:tmpl w:val="4C061342"/>
    <w:lvl w:ilvl="0" w:tplc="0980B9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CA5935"/>
    <w:multiLevelType w:val="hybridMultilevel"/>
    <w:tmpl w:val="20969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4821EB"/>
    <w:multiLevelType w:val="hybridMultilevel"/>
    <w:tmpl w:val="FD5EA50E"/>
    <w:lvl w:ilvl="0" w:tplc="3B989E14">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75016959">
    <w:abstractNumId w:val="13"/>
  </w:num>
  <w:num w:numId="2" w16cid:durableId="1863667462">
    <w:abstractNumId w:val="5"/>
  </w:num>
  <w:num w:numId="3" w16cid:durableId="767771327">
    <w:abstractNumId w:val="3"/>
  </w:num>
  <w:num w:numId="4" w16cid:durableId="137261263">
    <w:abstractNumId w:val="2"/>
  </w:num>
  <w:num w:numId="5" w16cid:durableId="417365892">
    <w:abstractNumId w:val="12"/>
  </w:num>
  <w:num w:numId="6" w16cid:durableId="1214778752">
    <w:abstractNumId w:val="1"/>
  </w:num>
  <w:num w:numId="7" w16cid:durableId="1697972644">
    <w:abstractNumId w:val="14"/>
  </w:num>
  <w:num w:numId="8" w16cid:durableId="880632017">
    <w:abstractNumId w:val="7"/>
  </w:num>
  <w:num w:numId="9" w16cid:durableId="1528523317">
    <w:abstractNumId w:val="15"/>
  </w:num>
  <w:num w:numId="10" w16cid:durableId="904024467">
    <w:abstractNumId w:val="11"/>
  </w:num>
  <w:num w:numId="11" w16cid:durableId="519246404">
    <w:abstractNumId w:val="16"/>
  </w:num>
  <w:num w:numId="12" w16cid:durableId="4788523">
    <w:abstractNumId w:val="8"/>
  </w:num>
  <w:num w:numId="13" w16cid:durableId="602344817">
    <w:abstractNumId w:val="0"/>
  </w:num>
  <w:num w:numId="14" w16cid:durableId="731200313">
    <w:abstractNumId w:val="4"/>
  </w:num>
  <w:num w:numId="15" w16cid:durableId="990525729">
    <w:abstractNumId w:val="6"/>
  </w:num>
  <w:num w:numId="16" w16cid:durableId="1729375510">
    <w:abstractNumId w:val="9"/>
  </w:num>
  <w:num w:numId="17" w16cid:durableId="672728725">
    <w:abstractNumId w:val="17"/>
  </w:num>
  <w:num w:numId="18" w16cid:durableId="1313564396">
    <w:abstractNumId w:val="18"/>
  </w:num>
  <w:num w:numId="19" w16cid:durableId="9906012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6D"/>
    <w:rsid w:val="00037704"/>
    <w:rsid w:val="00080F72"/>
    <w:rsid w:val="00090CFE"/>
    <w:rsid w:val="0009556D"/>
    <w:rsid w:val="000C1B6D"/>
    <w:rsid w:val="000C537D"/>
    <w:rsid w:val="000C6E1F"/>
    <w:rsid w:val="000D75D0"/>
    <w:rsid w:val="000E62B4"/>
    <w:rsid w:val="001019A3"/>
    <w:rsid w:val="0010270F"/>
    <w:rsid w:val="00102FB6"/>
    <w:rsid w:val="00113CAD"/>
    <w:rsid w:val="001153F3"/>
    <w:rsid w:val="001229F4"/>
    <w:rsid w:val="00127202"/>
    <w:rsid w:val="001278C2"/>
    <w:rsid w:val="001344C9"/>
    <w:rsid w:val="0014072D"/>
    <w:rsid w:val="001517FA"/>
    <w:rsid w:val="00153E8B"/>
    <w:rsid w:val="001B4B08"/>
    <w:rsid w:val="001C4952"/>
    <w:rsid w:val="001E02FA"/>
    <w:rsid w:val="001F25DC"/>
    <w:rsid w:val="00220E1C"/>
    <w:rsid w:val="00235695"/>
    <w:rsid w:val="00236351"/>
    <w:rsid w:val="002415E6"/>
    <w:rsid w:val="00244826"/>
    <w:rsid w:val="0026242A"/>
    <w:rsid w:val="00262A21"/>
    <w:rsid w:val="00277362"/>
    <w:rsid w:val="002815FC"/>
    <w:rsid w:val="002B7A49"/>
    <w:rsid w:val="002C0882"/>
    <w:rsid w:val="002C14F8"/>
    <w:rsid w:val="002F6C00"/>
    <w:rsid w:val="002F6F91"/>
    <w:rsid w:val="003039F3"/>
    <w:rsid w:val="0032764A"/>
    <w:rsid w:val="00345E87"/>
    <w:rsid w:val="00353AFD"/>
    <w:rsid w:val="003631D9"/>
    <w:rsid w:val="003634D4"/>
    <w:rsid w:val="00364347"/>
    <w:rsid w:val="00396160"/>
    <w:rsid w:val="003A1285"/>
    <w:rsid w:val="003A4E23"/>
    <w:rsid w:val="003B7908"/>
    <w:rsid w:val="003E047A"/>
    <w:rsid w:val="003F3221"/>
    <w:rsid w:val="003F61A9"/>
    <w:rsid w:val="00405602"/>
    <w:rsid w:val="00416F65"/>
    <w:rsid w:val="004224AD"/>
    <w:rsid w:val="004227B9"/>
    <w:rsid w:val="004305C9"/>
    <w:rsid w:val="00454814"/>
    <w:rsid w:val="004615B6"/>
    <w:rsid w:val="00465D8D"/>
    <w:rsid w:val="00474AF4"/>
    <w:rsid w:val="00486362"/>
    <w:rsid w:val="0048756A"/>
    <w:rsid w:val="004B0C0B"/>
    <w:rsid w:val="004B25C9"/>
    <w:rsid w:val="004C4920"/>
    <w:rsid w:val="004C6B0E"/>
    <w:rsid w:val="004F5322"/>
    <w:rsid w:val="00506B32"/>
    <w:rsid w:val="005106C8"/>
    <w:rsid w:val="00517539"/>
    <w:rsid w:val="00523019"/>
    <w:rsid w:val="00523C6C"/>
    <w:rsid w:val="00527AED"/>
    <w:rsid w:val="00530E8E"/>
    <w:rsid w:val="005334CB"/>
    <w:rsid w:val="00545711"/>
    <w:rsid w:val="00547436"/>
    <w:rsid w:val="005648A4"/>
    <w:rsid w:val="005659D2"/>
    <w:rsid w:val="00567F3C"/>
    <w:rsid w:val="00590B04"/>
    <w:rsid w:val="005A2208"/>
    <w:rsid w:val="005A44C1"/>
    <w:rsid w:val="005C618E"/>
    <w:rsid w:val="005C62D5"/>
    <w:rsid w:val="005D292C"/>
    <w:rsid w:val="005D2EE5"/>
    <w:rsid w:val="005E0B15"/>
    <w:rsid w:val="005F64DD"/>
    <w:rsid w:val="006023E0"/>
    <w:rsid w:val="006119FB"/>
    <w:rsid w:val="0061439C"/>
    <w:rsid w:val="00616B4C"/>
    <w:rsid w:val="00627E87"/>
    <w:rsid w:val="006426A1"/>
    <w:rsid w:val="006650FD"/>
    <w:rsid w:val="00673486"/>
    <w:rsid w:val="006778EB"/>
    <w:rsid w:val="006C3346"/>
    <w:rsid w:val="006E2411"/>
    <w:rsid w:val="007035FC"/>
    <w:rsid w:val="00712B41"/>
    <w:rsid w:val="007255DC"/>
    <w:rsid w:val="00734291"/>
    <w:rsid w:val="0073588B"/>
    <w:rsid w:val="007377FC"/>
    <w:rsid w:val="00754869"/>
    <w:rsid w:val="007673D3"/>
    <w:rsid w:val="00774FD7"/>
    <w:rsid w:val="007B0F89"/>
    <w:rsid w:val="007B6A96"/>
    <w:rsid w:val="007C3EE9"/>
    <w:rsid w:val="00805E41"/>
    <w:rsid w:val="0080729E"/>
    <w:rsid w:val="00812E92"/>
    <w:rsid w:val="0085382C"/>
    <w:rsid w:val="0085422B"/>
    <w:rsid w:val="00865B36"/>
    <w:rsid w:val="00887A9F"/>
    <w:rsid w:val="008C0AB7"/>
    <w:rsid w:val="008C3D60"/>
    <w:rsid w:val="008D617E"/>
    <w:rsid w:val="008E6034"/>
    <w:rsid w:val="008F31A3"/>
    <w:rsid w:val="00916640"/>
    <w:rsid w:val="009334DC"/>
    <w:rsid w:val="009341F2"/>
    <w:rsid w:val="00966F98"/>
    <w:rsid w:val="00972DD9"/>
    <w:rsid w:val="00975A08"/>
    <w:rsid w:val="009A4732"/>
    <w:rsid w:val="009B0966"/>
    <w:rsid w:val="009C4A4C"/>
    <w:rsid w:val="009D3B75"/>
    <w:rsid w:val="009E1FB9"/>
    <w:rsid w:val="009F7DA5"/>
    <w:rsid w:val="00A03785"/>
    <w:rsid w:val="00A501BB"/>
    <w:rsid w:val="00A52C60"/>
    <w:rsid w:val="00A6152D"/>
    <w:rsid w:val="00A71618"/>
    <w:rsid w:val="00A90A21"/>
    <w:rsid w:val="00A97508"/>
    <w:rsid w:val="00AA320D"/>
    <w:rsid w:val="00AB2B68"/>
    <w:rsid w:val="00AC1EF3"/>
    <w:rsid w:val="00AF0697"/>
    <w:rsid w:val="00AF7DD1"/>
    <w:rsid w:val="00B01E4E"/>
    <w:rsid w:val="00B11254"/>
    <w:rsid w:val="00B2180A"/>
    <w:rsid w:val="00B514BB"/>
    <w:rsid w:val="00B576B4"/>
    <w:rsid w:val="00B70E23"/>
    <w:rsid w:val="00B85FAB"/>
    <w:rsid w:val="00B87859"/>
    <w:rsid w:val="00BA4888"/>
    <w:rsid w:val="00BE2B71"/>
    <w:rsid w:val="00BE2E59"/>
    <w:rsid w:val="00C03C56"/>
    <w:rsid w:val="00C140A2"/>
    <w:rsid w:val="00C242EB"/>
    <w:rsid w:val="00C3358B"/>
    <w:rsid w:val="00C637AB"/>
    <w:rsid w:val="00C93CC0"/>
    <w:rsid w:val="00CA155E"/>
    <w:rsid w:val="00CA2E58"/>
    <w:rsid w:val="00CB4AE5"/>
    <w:rsid w:val="00CD1F94"/>
    <w:rsid w:val="00CF6EE7"/>
    <w:rsid w:val="00D001BC"/>
    <w:rsid w:val="00D05764"/>
    <w:rsid w:val="00D15D44"/>
    <w:rsid w:val="00D520FD"/>
    <w:rsid w:val="00D63EAB"/>
    <w:rsid w:val="00D933F6"/>
    <w:rsid w:val="00D96FD9"/>
    <w:rsid w:val="00DB2479"/>
    <w:rsid w:val="00DB5EE1"/>
    <w:rsid w:val="00DB6589"/>
    <w:rsid w:val="00DD0E95"/>
    <w:rsid w:val="00DD39EC"/>
    <w:rsid w:val="00DE4CBC"/>
    <w:rsid w:val="00E27184"/>
    <w:rsid w:val="00E27E64"/>
    <w:rsid w:val="00E31417"/>
    <w:rsid w:val="00E34924"/>
    <w:rsid w:val="00E4293B"/>
    <w:rsid w:val="00E47CA9"/>
    <w:rsid w:val="00E527B9"/>
    <w:rsid w:val="00E80D9F"/>
    <w:rsid w:val="00E840D3"/>
    <w:rsid w:val="00E9504D"/>
    <w:rsid w:val="00E96963"/>
    <w:rsid w:val="00E96FC0"/>
    <w:rsid w:val="00EA2D87"/>
    <w:rsid w:val="00EA3E2E"/>
    <w:rsid w:val="00EC5E01"/>
    <w:rsid w:val="00ED03D3"/>
    <w:rsid w:val="00ED0FB9"/>
    <w:rsid w:val="00ED1C9C"/>
    <w:rsid w:val="00ED49E6"/>
    <w:rsid w:val="00ED4EC9"/>
    <w:rsid w:val="00F05938"/>
    <w:rsid w:val="00F12875"/>
    <w:rsid w:val="00F321DB"/>
    <w:rsid w:val="00F34EDF"/>
    <w:rsid w:val="00F36A38"/>
    <w:rsid w:val="00F53E5C"/>
    <w:rsid w:val="00F75C48"/>
    <w:rsid w:val="00F76C34"/>
    <w:rsid w:val="00F81407"/>
    <w:rsid w:val="00F8167A"/>
    <w:rsid w:val="00F818E6"/>
    <w:rsid w:val="00F81A59"/>
    <w:rsid w:val="00F84258"/>
    <w:rsid w:val="00F857A0"/>
    <w:rsid w:val="00F85A47"/>
    <w:rsid w:val="00F942F7"/>
    <w:rsid w:val="00FA73F0"/>
    <w:rsid w:val="00FB3E38"/>
    <w:rsid w:val="00FC412C"/>
    <w:rsid w:val="00FE3281"/>
    <w:rsid w:val="00FE5B6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AC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D1"/>
    <w:rPr>
      <w:rFonts w:ascii="Century Gothic" w:hAnsi="Century Gothic"/>
      <w:sz w:val="18"/>
    </w:rPr>
  </w:style>
  <w:style w:type="paragraph" w:styleId="Heading1">
    <w:name w:val="heading 1"/>
    <w:basedOn w:val="Normal"/>
    <w:next w:val="Normal"/>
    <w:link w:val="Heading1Char"/>
    <w:uiPriority w:val="9"/>
    <w:qFormat/>
    <w:rsid w:val="00220E1C"/>
    <w:pPr>
      <w:keepNext/>
      <w:keepLines/>
      <w:spacing w:before="120" w:after="120"/>
      <w:jc w:val="center"/>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277362"/>
    <w:pPr>
      <w:keepNext/>
      <w:keepLines/>
      <w:spacing w:before="120" w:after="12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220E1C"/>
    <w:pPr>
      <w:keepNext/>
      <w:keepLines/>
      <w:numPr>
        <w:numId w:val="18"/>
      </w:numPr>
      <w:spacing w:before="240" w:after="60"/>
      <w:ind w:left="357" w:hanging="357"/>
      <w:outlineLvl w:val="2"/>
    </w:pPr>
    <w:rPr>
      <w:rFonts w:asciiTheme="majorHAnsi" w:eastAsiaTheme="majorEastAsia" w:hAnsiTheme="majorHAnsi"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5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FC0"/>
    <w:pPr>
      <w:ind w:left="720"/>
    </w:pPr>
  </w:style>
  <w:style w:type="paragraph" w:styleId="BalloonText">
    <w:name w:val="Balloon Text"/>
    <w:basedOn w:val="Normal"/>
    <w:link w:val="BalloonTextChar"/>
    <w:uiPriority w:val="99"/>
    <w:semiHidden/>
    <w:unhideWhenUsed/>
    <w:rsid w:val="00E840D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840D3"/>
    <w:rPr>
      <w:rFonts w:ascii="Segoe UI" w:hAnsi="Segoe UI" w:cs="Segoe UI"/>
      <w:sz w:val="18"/>
      <w:szCs w:val="18"/>
    </w:rPr>
  </w:style>
  <w:style w:type="paragraph" w:styleId="Header">
    <w:name w:val="header"/>
    <w:basedOn w:val="Normal"/>
    <w:link w:val="HeaderChar"/>
    <w:uiPriority w:val="99"/>
    <w:unhideWhenUsed/>
    <w:rsid w:val="00B21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80A"/>
  </w:style>
  <w:style w:type="paragraph" w:styleId="Footer">
    <w:name w:val="footer"/>
    <w:basedOn w:val="Normal"/>
    <w:link w:val="FooterChar"/>
    <w:uiPriority w:val="99"/>
    <w:unhideWhenUsed/>
    <w:rsid w:val="00B21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80A"/>
  </w:style>
  <w:style w:type="character" w:styleId="CommentReference">
    <w:name w:val="annotation reference"/>
    <w:basedOn w:val="DefaultParagraphFont"/>
    <w:uiPriority w:val="99"/>
    <w:semiHidden/>
    <w:unhideWhenUsed/>
    <w:rsid w:val="006426A1"/>
    <w:rPr>
      <w:sz w:val="16"/>
      <w:szCs w:val="16"/>
    </w:rPr>
  </w:style>
  <w:style w:type="paragraph" w:styleId="CommentText">
    <w:name w:val="annotation text"/>
    <w:basedOn w:val="Normal"/>
    <w:link w:val="CommentTextChar"/>
    <w:uiPriority w:val="99"/>
    <w:semiHidden/>
    <w:unhideWhenUsed/>
    <w:rsid w:val="006426A1"/>
    <w:pPr>
      <w:spacing w:line="240" w:lineRule="auto"/>
    </w:pPr>
    <w:rPr>
      <w:sz w:val="20"/>
      <w:szCs w:val="20"/>
    </w:rPr>
  </w:style>
  <w:style w:type="character" w:customStyle="1" w:styleId="CommentTextChar">
    <w:name w:val="Comment Text Char"/>
    <w:basedOn w:val="DefaultParagraphFont"/>
    <w:link w:val="CommentText"/>
    <w:uiPriority w:val="99"/>
    <w:semiHidden/>
    <w:rsid w:val="006426A1"/>
    <w:rPr>
      <w:sz w:val="20"/>
      <w:szCs w:val="20"/>
    </w:rPr>
  </w:style>
  <w:style w:type="paragraph" w:styleId="CommentSubject">
    <w:name w:val="annotation subject"/>
    <w:basedOn w:val="CommentText"/>
    <w:next w:val="CommentText"/>
    <w:link w:val="CommentSubjectChar"/>
    <w:uiPriority w:val="99"/>
    <w:semiHidden/>
    <w:unhideWhenUsed/>
    <w:rsid w:val="006426A1"/>
    <w:rPr>
      <w:b/>
      <w:bCs/>
    </w:rPr>
  </w:style>
  <w:style w:type="character" w:customStyle="1" w:styleId="CommentSubjectChar">
    <w:name w:val="Comment Subject Char"/>
    <w:basedOn w:val="CommentTextChar"/>
    <w:link w:val="CommentSubject"/>
    <w:uiPriority w:val="99"/>
    <w:semiHidden/>
    <w:rsid w:val="006426A1"/>
    <w:rPr>
      <w:b/>
      <w:bCs/>
      <w:sz w:val="20"/>
      <w:szCs w:val="20"/>
    </w:rPr>
  </w:style>
  <w:style w:type="paragraph" w:styleId="Revision">
    <w:name w:val="Revision"/>
    <w:hidden/>
    <w:uiPriority w:val="99"/>
    <w:semiHidden/>
    <w:rsid w:val="00F321DB"/>
    <w:pPr>
      <w:spacing w:after="0" w:line="240" w:lineRule="auto"/>
    </w:pPr>
  </w:style>
  <w:style w:type="paragraph" w:customStyle="1" w:styleId="Default">
    <w:name w:val="Default"/>
    <w:rsid w:val="00B576B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5E0B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B15"/>
    <w:rPr>
      <w:sz w:val="20"/>
      <w:szCs w:val="20"/>
    </w:rPr>
  </w:style>
  <w:style w:type="character" w:styleId="FootnoteReference">
    <w:name w:val="footnote reference"/>
    <w:basedOn w:val="DefaultParagraphFont"/>
    <w:uiPriority w:val="99"/>
    <w:semiHidden/>
    <w:unhideWhenUsed/>
    <w:rsid w:val="005E0B15"/>
    <w:rPr>
      <w:vertAlign w:val="superscript"/>
    </w:rPr>
  </w:style>
  <w:style w:type="character" w:customStyle="1" w:styleId="Heading1Char">
    <w:name w:val="Heading 1 Char"/>
    <w:basedOn w:val="DefaultParagraphFont"/>
    <w:link w:val="Heading1"/>
    <w:uiPriority w:val="9"/>
    <w:rsid w:val="00220E1C"/>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27736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220E1C"/>
    <w:rPr>
      <w:rFonts w:asciiTheme="majorHAnsi" w:eastAsiaTheme="majorEastAsia" w:hAnsiTheme="majorHAnsi" w:cstheme="majorBidi"/>
      <w:b/>
      <w:sz w:val="26"/>
      <w:szCs w:val="24"/>
    </w:rPr>
  </w:style>
  <w:style w:type="character" w:styleId="PlaceholderText">
    <w:name w:val="Placeholder Text"/>
    <w:basedOn w:val="DefaultParagraphFont"/>
    <w:uiPriority w:val="99"/>
    <w:semiHidden/>
    <w:rsid w:val="00A97508"/>
    <w:rPr>
      <w:color w:val="808080"/>
    </w:rPr>
  </w:style>
  <w:style w:type="paragraph" w:customStyle="1" w:styleId="Note">
    <w:name w:val="Note"/>
    <w:basedOn w:val="Normal"/>
    <w:link w:val="NoteChar"/>
    <w:qFormat/>
    <w:rsid w:val="00B85FAB"/>
    <w:pPr>
      <w:ind w:left="426"/>
    </w:pPr>
    <w:rPr>
      <w:sz w:val="16"/>
      <w:szCs w:val="16"/>
    </w:rPr>
  </w:style>
  <w:style w:type="character" w:customStyle="1" w:styleId="NoteChar">
    <w:name w:val="Note Char"/>
    <w:basedOn w:val="DefaultParagraphFont"/>
    <w:link w:val="Note"/>
    <w:rsid w:val="00B85FAB"/>
    <w:rPr>
      <w:rFonts w:ascii="Century Gothic" w:hAnsi="Century Gothi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AD0DC-EF53-4C9A-9DA3-B2BB2EB9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1283</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Restructuring plan standard terms</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Restructuring plan standard terms</dc:title>
  <dc:subject>Restructuring plan standard terms</dc:subject>
  <dc:creator/>
  <cp:keywords>Restructuring plan standard terms</cp:keywords>
  <dc:description/>
  <cp:lastModifiedBy/>
  <cp:revision>1</cp:revision>
  <dcterms:created xsi:type="dcterms:W3CDTF">2024-11-29T05:04:00Z</dcterms:created>
  <dcterms:modified xsi:type="dcterms:W3CDTF">2024-11-29T05:05:00Z</dcterms:modified>
  <cp:category>standard terms</cp:category>
</cp:coreProperties>
</file>