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E956E" w14:textId="77777777" w:rsidR="00174C2B" w:rsidRDefault="00690525" w:rsidP="00174C2B">
      <w:pPr>
        <w:pStyle w:val="Title"/>
        <w:spacing w:before="3360"/>
        <w:rPr>
          <w:u w:val="none"/>
        </w:rPr>
      </w:pPr>
      <w:r w:rsidRPr="00174C2B">
        <w:rPr>
          <w:u w:val="none"/>
        </w:rPr>
        <w:t>Superannuation Complaints Tribunal</w:t>
      </w:r>
    </w:p>
    <w:p w14:paraId="0972AB21" w14:textId="5BFFD3DB" w:rsidR="00690525" w:rsidRPr="00174C2B" w:rsidRDefault="00174C2B" w:rsidP="00B12301">
      <w:pPr>
        <w:pStyle w:val="Title"/>
        <w:rPr>
          <w:u w:val="none"/>
        </w:rPr>
      </w:pPr>
      <w:r>
        <w:rPr>
          <w:u w:val="none"/>
        </w:rPr>
        <w:t>A</w:t>
      </w:r>
      <w:r w:rsidR="00F74E04" w:rsidRPr="00174C2B">
        <w:rPr>
          <w:u w:val="none"/>
        </w:rPr>
        <w:t xml:space="preserve">nnual </w:t>
      </w:r>
      <w:r w:rsidR="00690525" w:rsidRPr="00174C2B">
        <w:rPr>
          <w:u w:val="none"/>
        </w:rPr>
        <w:t>report 2020–21</w:t>
      </w:r>
    </w:p>
    <w:p w14:paraId="384CEC13" w14:textId="77777777" w:rsidR="00690525" w:rsidRDefault="00690525" w:rsidP="00B12301">
      <w:pPr>
        <w:sectPr w:rsidR="00690525" w:rsidSect="000E5EC2">
          <w:footerReference w:type="even" r:id="rId8"/>
          <w:footerReference w:type="default" r:id="rId9"/>
          <w:pgSz w:w="11907" w:h="16840" w:code="9"/>
          <w:pgMar w:top="2041" w:right="1440" w:bottom="1701" w:left="1440" w:header="709" w:footer="709" w:gutter="0"/>
          <w:cols w:space="720"/>
          <w:noEndnote/>
          <w:titlePg/>
          <w:docGrid w:linePitch="299"/>
        </w:sectPr>
      </w:pPr>
    </w:p>
    <w:p w14:paraId="1386A154" w14:textId="6CEF7BB2" w:rsidR="00F74E04" w:rsidRDefault="00F74E04" w:rsidP="00B12301">
      <w:r>
        <w:lastRenderedPageBreak/>
        <w:t>© Commonwealth of Australia 20</w:t>
      </w:r>
      <w:r w:rsidR="00D579F2">
        <w:t>21</w:t>
      </w:r>
    </w:p>
    <w:p w14:paraId="2EE7CF3C" w14:textId="7B0F3109" w:rsidR="00F74E04" w:rsidRDefault="00F74E04" w:rsidP="00B12301">
      <w:r>
        <w:t>IS</w:t>
      </w:r>
      <w:r w:rsidR="00D579F2">
        <w:t>S</w:t>
      </w:r>
      <w:r>
        <w:t xml:space="preserve">N </w:t>
      </w:r>
      <w:r w:rsidR="00D579F2" w:rsidRPr="00D579F2">
        <w:t>1324</w:t>
      </w:r>
      <w:r w:rsidR="0050078B">
        <w:noBreakHyphen/>
      </w:r>
      <w:r w:rsidR="00D579F2" w:rsidRPr="00D579F2">
        <w:t>8014</w:t>
      </w:r>
    </w:p>
    <w:p w14:paraId="0E0601B9" w14:textId="25C1B085" w:rsidR="00F74E04" w:rsidRDefault="00F74E04" w:rsidP="00B12301">
      <w:r>
        <w:t xml:space="preserve">This publication is available for your use under a </w:t>
      </w:r>
      <w:hyperlink r:id="rId10" w:history="1">
        <w:r w:rsidRPr="00D579F2">
          <w:rPr>
            <w:rStyle w:val="Hyperlink"/>
          </w:rPr>
          <w:t>Creative Commons BY Attribution 3.0 Australia</w:t>
        </w:r>
      </w:hyperlink>
      <w:r>
        <w:t xml:space="preserve"> licence, with the exception of the Commonwealth Coat of Arms, the Treasury logo, photographs, images, signatures and where otherwise stated [list if required]. The full licence terms are available from </w:t>
      </w:r>
      <w:hyperlink r:id="rId11" w:history="1">
        <w:r w:rsidR="00D579F2" w:rsidRPr="004B07D1">
          <w:rPr>
            <w:rStyle w:val="Hyperlink"/>
          </w:rPr>
          <w:t>http://creativecommons.org/licenses/by/3.0/au/legalcode</w:t>
        </w:r>
      </w:hyperlink>
      <w:r>
        <w:t xml:space="preserve">. </w:t>
      </w:r>
    </w:p>
    <w:p w14:paraId="177CD047" w14:textId="426157D2" w:rsidR="00F74E04" w:rsidRDefault="00F74E04" w:rsidP="00B12301">
      <w:r w:rsidRPr="00E56DFB">
        <w:rPr>
          <w:noProof/>
          <w:lang w:eastAsia="zh-CN"/>
        </w:rPr>
        <w:drawing>
          <wp:inline distT="0" distB="0" distL="0" distR="0" wp14:anchorId="2B72E5A3" wp14:editId="71E06997">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2"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2A4F04DE" w14:textId="58C6F044" w:rsidR="00F74E04" w:rsidRDefault="00F74E04" w:rsidP="00B12301">
      <w:r>
        <w:t xml:space="preserve">Use of Treasury material under a </w:t>
      </w:r>
      <w:hyperlink r:id="rId13" w:history="1">
        <w:r w:rsidRPr="00D579F2">
          <w:rPr>
            <w:rStyle w:val="Hyperlink"/>
          </w:rPr>
          <w:t>Creative Commons BY Attribution 3.0 Australia</w:t>
        </w:r>
      </w:hyperlink>
      <w:r>
        <w:t xml:space="preserve"> licence requires you to attribute the work (but not in any way that suggests that the Treasury endorses you or your use of the work). </w:t>
      </w:r>
    </w:p>
    <w:p w14:paraId="347A80A8" w14:textId="46ECC119" w:rsidR="00F74E04" w:rsidRPr="00B12301" w:rsidRDefault="00F74E04" w:rsidP="00D579F2">
      <w:pPr>
        <w:spacing w:before="360" w:after="0"/>
        <w:rPr>
          <w:b/>
          <w:bCs/>
        </w:rPr>
      </w:pPr>
      <w:r w:rsidRPr="00B12301">
        <w:rPr>
          <w:b/>
          <w:bCs/>
        </w:rPr>
        <w:t xml:space="preserve">Treasury material used </w:t>
      </w:r>
      <w:r w:rsidR="0050078B">
        <w:rPr>
          <w:b/>
          <w:bCs/>
        </w:rPr>
        <w:t>‘</w:t>
      </w:r>
      <w:r w:rsidRPr="00B12301">
        <w:rPr>
          <w:b/>
          <w:bCs/>
        </w:rPr>
        <w:t>as supplied</w:t>
      </w:r>
      <w:r w:rsidR="0050078B">
        <w:rPr>
          <w:b/>
          <w:bCs/>
        </w:rPr>
        <w:t>’</w:t>
      </w:r>
    </w:p>
    <w:p w14:paraId="5AA675DC" w14:textId="77777777" w:rsidR="00F74E04" w:rsidRDefault="00F74E04" w:rsidP="00B12301">
      <w:r>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3F04680A" w14:textId="202C0D43" w:rsidR="00F74E04" w:rsidRPr="00D579F2" w:rsidRDefault="00F74E04" w:rsidP="00B12301">
      <w:pPr>
        <w:rPr>
          <w:i/>
          <w:iCs/>
        </w:rPr>
      </w:pPr>
      <w:r>
        <w:t xml:space="preserve">Source: </w:t>
      </w:r>
      <w:r w:rsidRPr="00D579F2">
        <w:rPr>
          <w:i/>
          <w:iCs/>
        </w:rPr>
        <w:t>The Australian Government the Treasur</w:t>
      </w:r>
      <w:r w:rsidR="00917478">
        <w:rPr>
          <w:i/>
          <w:iCs/>
        </w:rPr>
        <w:t>y</w:t>
      </w:r>
    </w:p>
    <w:p w14:paraId="27182FC9" w14:textId="77777777" w:rsidR="00F74E04" w:rsidRPr="00B12301" w:rsidRDefault="00F74E04" w:rsidP="00D579F2">
      <w:pPr>
        <w:spacing w:before="360" w:after="120"/>
        <w:rPr>
          <w:b/>
          <w:bCs/>
        </w:rPr>
      </w:pPr>
      <w:r w:rsidRPr="00B12301">
        <w:rPr>
          <w:b/>
          <w:bCs/>
        </w:rPr>
        <w:t>Derivative material</w:t>
      </w:r>
    </w:p>
    <w:p w14:paraId="65EDF7ED" w14:textId="77777777" w:rsidR="00F74E04" w:rsidRDefault="00F74E04" w:rsidP="00B12301">
      <w:r>
        <w:t xml:space="preserve">If you have modified or transformed Treasury material, or derived new material from those of the Treasury in any way, then Treasury prefers the following attribution: </w:t>
      </w:r>
    </w:p>
    <w:p w14:paraId="754D2AFE" w14:textId="74D28F02" w:rsidR="00F74E04" w:rsidRPr="00D579F2" w:rsidRDefault="00F74E04" w:rsidP="00B12301">
      <w:pPr>
        <w:rPr>
          <w:i/>
          <w:iCs/>
        </w:rPr>
      </w:pPr>
      <w:r w:rsidRPr="00D579F2">
        <w:rPr>
          <w:i/>
          <w:iCs/>
        </w:rPr>
        <w:t>Based on The Australian Government the Treasury data</w:t>
      </w:r>
    </w:p>
    <w:p w14:paraId="2C7741B1" w14:textId="77777777" w:rsidR="00F74E04" w:rsidRPr="00B12301" w:rsidRDefault="00F74E04" w:rsidP="00D579F2">
      <w:pPr>
        <w:spacing w:before="360" w:after="0"/>
        <w:rPr>
          <w:b/>
          <w:bCs/>
        </w:rPr>
      </w:pPr>
      <w:r w:rsidRPr="00B12301">
        <w:rPr>
          <w:b/>
          <w:bCs/>
        </w:rPr>
        <w:t>Use of the Coat of Arms</w:t>
      </w:r>
    </w:p>
    <w:p w14:paraId="76200108" w14:textId="7D36525D" w:rsidR="00F74E04" w:rsidRDefault="00F74E04" w:rsidP="00B12301">
      <w:r>
        <w:t xml:space="preserve">The terms under which the Coat of Arms can be used are set out </w:t>
      </w:r>
      <w:r w:rsidR="00917478">
        <w:br/>
      </w:r>
      <w:r>
        <w:t xml:space="preserve">on the Department of the Prime Minister and Cabinet website </w:t>
      </w:r>
      <w:r w:rsidR="00917478">
        <w:br/>
      </w:r>
      <w:r>
        <w:t>(see</w:t>
      </w:r>
      <w:r w:rsidR="00917478">
        <w:t xml:space="preserve"> </w:t>
      </w:r>
      <w:hyperlink r:id="rId14" w:history="1">
        <w:r w:rsidR="00917478" w:rsidRPr="00F73E58">
          <w:rPr>
            <w:rStyle w:val="Hyperlink"/>
          </w:rPr>
          <w:t>www.pmc.gov.au/government/commonwealth</w:t>
        </w:r>
        <w:r w:rsidR="00917478" w:rsidRPr="00F73E58">
          <w:rPr>
            <w:rStyle w:val="Hyperlink"/>
          </w:rPr>
          <w:noBreakHyphen/>
          <w:t>coat</w:t>
        </w:r>
        <w:r w:rsidR="00917478" w:rsidRPr="00F73E58">
          <w:rPr>
            <w:rStyle w:val="Hyperlink"/>
          </w:rPr>
          <w:noBreakHyphen/>
          <w:t>arms</w:t>
        </w:r>
      </w:hyperlink>
      <w:r>
        <w:t>).</w:t>
      </w:r>
    </w:p>
    <w:p w14:paraId="44D49906" w14:textId="77777777" w:rsidR="00F74E04" w:rsidRPr="00B12301" w:rsidRDefault="00F74E04" w:rsidP="00D579F2">
      <w:pPr>
        <w:spacing w:before="360" w:after="0"/>
        <w:rPr>
          <w:b/>
          <w:bCs/>
        </w:rPr>
      </w:pPr>
      <w:r w:rsidRPr="00B12301">
        <w:rPr>
          <w:b/>
          <w:bCs/>
        </w:rPr>
        <w:t>Other uses</w:t>
      </w:r>
    </w:p>
    <w:p w14:paraId="2AFF649B" w14:textId="77777777" w:rsidR="00F74E04" w:rsidRDefault="00F74E04" w:rsidP="00B12301">
      <w:r>
        <w:t>Enquiries regarding this licence and any other use of this document are welcome at:</w:t>
      </w:r>
    </w:p>
    <w:p w14:paraId="22C35797" w14:textId="77777777" w:rsidR="00F74E04" w:rsidRDefault="00F74E04" w:rsidP="00B12301">
      <w:pPr>
        <w:spacing w:before="0" w:after="0"/>
      </w:pPr>
      <w:r>
        <w:t>Manager</w:t>
      </w:r>
    </w:p>
    <w:p w14:paraId="3B04080F" w14:textId="77777777" w:rsidR="00F74E04" w:rsidRDefault="00F74E04" w:rsidP="00B12301">
      <w:pPr>
        <w:spacing w:before="0" w:after="0"/>
      </w:pPr>
      <w:r>
        <w:t>Media and Speeches</w:t>
      </w:r>
    </w:p>
    <w:p w14:paraId="24B5F6E0" w14:textId="77777777" w:rsidR="00F74E04" w:rsidRDefault="00F74E04" w:rsidP="00B12301">
      <w:pPr>
        <w:spacing w:before="0" w:after="0"/>
      </w:pPr>
      <w:r>
        <w:t>The Treasury</w:t>
      </w:r>
    </w:p>
    <w:p w14:paraId="73CCB787" w14:textId="77777777" w:rsidR="00F74E04" w:rsidRDefault="00F74E04" w:rsidP="00B12301">
      <w:pPr>
        <w:spacing w:before="0"/>
      </w:pPr>
      <w:r>
        <w:t>Langton Crescent, Parkes ACT 2600</w:t>
      </w:r>
    </w:p>
    <w:p w14:paraId="2D6EA9BE" w14:textId="5F9BDC20" w:rsidR="00690525" w:rsidRDefault="00F74E04" w:rsidP="00B12301">
      <w:pPr>
        <w:spacing w:before="0" w:after="0"/>
        <w:rPr>
          <w:rStyle w:val="Hyperlink"/>
        </w:rPr>
      </w:pPr>
      <w:r>
        <w:t xml:space="preserve">Email: </w:t>
      </w:r>
      <w:hyperlink r:id="rId15" w:history="1">
        <w:r w:rsidR="00D579F2" w:rsidRPr="004B07D1">
          <w:rPr>
            <w:rStyle w:val="Hyperlink"/>
          </w:rPr>
          <w:t>media@treasury.gov.au</w:t>
        </w:r>
      </w:hyperlink>
    </w:p>
    <w:p w14:paraId="7958ACBC" w14:textId="0E4D342C" w:rsidR="008F65C6" w:rsidRDefault="008F65C6">
      <w:pPr>
        <w:spacing w:before="0" w:after="160" w:line="259" w:lineRule="auto"/>
      </w:pPr>
      <w:r>
        <w:br w:type="page"/>
      </w:r>
    </w:p>
    <w:p w14:paraId="6446BD53" w14:textId="2395FA94" w:rsidR="008F65C6" w:rsidRDefault="008F65C6">
      <w:pPr>
        <w:pStyle w:val="SinglePara"/>
        <w:jc w:val="right"/>
      </w:pPr>
      <w:r>
        <w:lastRenderedPageBreak/>
        <w:fldChar w:fldCharType="begin"/>
      </w:r>
      <w:r>
        <w:instrText xml:space="preserve"> CREATEDATE \@ "d MMMM, yyyy" \* MERGEFORMAT </w:instrText>
      </w:r>
      <w:r>
        <w:fldChar w:fldCharType="separate"/>
      </w:r>
      <w:r w:rsidRPr="008F65C6">
        <w:rPr>
          <w:noProof/>
        </w:rPr>
        <w:t>24</w:t>
      </w:r>
      <w:r>
        <w:rPr>
          <w:noProof/>
        </w:rPr>
        <w:t xml:space="preserve"> September, 2021</w:t>
      </w:r>
      <w:r>
        <w:rPr>
          <w:noProof/>
        </w:rPr>
        <w:fldChar w:fldCharType="end"/>
      </w:r>
    </w:p>
    <w:p w14:paraId="08DA01AE" w14:textId="77777777" w:rsidR="008F65C6" w:rsidRDefault="008F65C6"/>
    <w:p w14:paraId="2E7F3299" w14:textId="77777777" w:rsidR="008F65C6" w:rsidRDefault="008F65C6">
      <w:r>
        <w:t>Senator the Hon Jane Hume</w:t>
      </w:r>
      <w:r>
        <w:br/>
        <w:t>Minister for Superannuation, Financial Services and the Digital Economy</w:t>
      </w:r>
      <w:r>
        <w:br/>
        <w:t>Minister for Women's Economic Security</w:t>
      </w:r>
      <w:r>
        <w:br/>
        <w:t>Parliament House</w:t>
      </w:r>
      <w:r>
        <w:br/>
        <w:t>CANBERRA ACT 2600</w:t>
      </w:r>
    </w:p>
    <w:p w14:paraId="60C4EEDF" w14:textId="77777777" w:rsidR="008F65C6" w:rsidRDefault="008F65C6"/>
    <w:p w14:paraId="7E0CD24D" w14:textId="77777777" w:rsidR="008F65C6" w:rsidRDefault="008F65C6">
      <w:r>
        <w:t>Dear Minister</w:t>
      </w:r>
    </w:p>
    <w:p w14:paraId="4CECC663" w14:textId="77777777" w:rsidR="008F65C6" w:rsidRDefault="008F65C6">
      <w:pPr>
        <w:rPr>
          <w:b/>
          <w:caps/>
        </w:rPr>
      </w:pPr>
      <w:r>
        <w:rPr>
          <w:b/>
          <w:caps/>
        </w:rPr>
        <w:t>Superannuation Complaints Tribunal Annual Report 2020-21</w:t>
      </w:r>
    </w:p>
    <w:p w14:paraId="69144D0F" w14:textId="3BDD6F02" w:rsidR="008F65C6" w:rsidRPr="00393C74" w:rsidRDefault="008F65C6" w:rsidP="0072314C">
      <w:pPr>
        <w:autoSpaceDE w:val="0"/>
        <w:autoSpaceDN w:val="0"/>
        <w:adjustRightInd w:val="0"/>
        <w:spacing w:after="0"/>
      </w:pPr>
      <w:r w:rsidRPr="00393C74">
        <w:t>I am pleased to submit to you for presentation to the Parliament the twenty</w:t>
      </w:r>
      <w:r>
        <w:t>-</w:t>
      </w:r>
      <w:r w:rsidRPr="00393C74">
        <w:t>seve</w:t>
      </w:r>
      <w:r>
        <w:t>nth</w:t>
      </w:r>
      <w:r w:rsidRPr="00393C74">
        <w:t xml:space="preserve"> Annual</w:t>
      </w:r>
      <w:r w:rsidR="00195FFF">
        <w:t> </w:t>
      </w:r>
      <w:r w:rsidRPr="00393C74">
        <w:t>Report of</w:t>
      </w:r>
      <w:r>
        <w:t xml:space="preserve"> </w:t>
      </w:r>
      <w:r w:rsidRPr="00393C74">
        <w:t>the Superannuation Complaints Tribunal for the year ended 30 June 2021, as required by s 67(1) of the</w:t>
      </w:r>
      <w:r>
        <w:t xml:space="preserve"> </w:t>
      </w:r>
      <w:r w:rsidRPr="00393C74">
        <w:rPr>
          <w:i/>
          <w:iCs/>
        </w:rPr>
        <w:t>Superannuation (Resolution of Complaints) Act 1993</w:t>
      </w:r>
      <w:r w:rsidRPr="00393C74">
        <w:t>.</w:t>
      </w:r>
    </w:p>
    <w:p w14:paraId="21243DA3" w14:textId="77777777" w:rsidR="008F65C6" w:rsidRDefault="008F65C6" w:rsidP="0072314C">
      <w:pPr>
        <w:autoSpaceDE w:val="0"/>
        <w:autoSpaceDN w:val="0"/>
        <w:adjustRightInd w:val="0"/>
        <w:spacing w:after="0"/>
      </w:pPr>
      <w:r w:rsidRPr="00393C74">
        <w:t xml:space="preserve">Section 67(2) of the </w:t>
      </w:r>
      <w:r w:rsidRPr="00393C74">
        <w:rPr>
          <w:i/>
          <w:iCs/>
        </w:rPr>
        <w:t>Superannuation (Resolution of Complaints) Act 1993</w:t>
      </w:r>
      <w:r w:rsidRPr="00393C74">
        <w:t xml:space="preserve"> obliges you to cause the report to be</w:t>
      </w:r>
      <w:r>
        <w:t xml:space="preserve"> </w:t>
      </w:r>
      <w:r w:rsidRPr="00393C74">
        <w:t>laid before each House of the Parliament within fifteen sitting days of receiving it.</w:t>
      </w:r>
    </w:p>
    <w:p w14:paraId="065D5E4D" w14:textId="77777777" w:rsidR="008F65C6" w:rsidRDefault="008F65C6" w:rsidP="0072314C">
      <w:pPr>
        <w:autoSpaceDE w:val="0"/>
        <w:autoSpaceDN w:val="0"/>
        <w:adjustRightInd w:val="0"/>
        <w:spacing w:after="0"/>
      </w:pPr>
    </w:p>
    <w:p w14:paraId="46F75968" w14:textId="6774A4AB" w:rsidR="008F65C6" w:rsidRDefault="008F65C6" w:rsidP="008F65C6">
      <w:pPr>
        <w:spacing w:after="120"/>
      </w:pPr>
      <w:r>
        <w:t>Yours sincerely</w:t>
      </w:r>
    </w:p>
    <w:p w14:paraId="00DE16E1" w14:textId="7A3601FF" w:rsidR="008F65C6" w:rsidRDefault="008F65C6" w:rsidP="008F65C6">
      <w:pPr>
        <w:spacing w:before="0" w:after="120"/>
        <w:ind w:left="-794"/>
      </w:pPr>
      <w:r>
        <w:rPr>
          <w:noProof/>
        </w:rPr>
        <w:drawing>
          <wp:inline distT="0" distB="0" distL="0" distR="0" wp14:anchorId="04F78F59" wp14:editId="2C486A1D">
            <wp:extent cx="251460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2514600" cy="1409700"/>
                    </a:xfrm>
                    <a:prstGeom prst="rect">
                      <a:avLst/>
                    </a:prstGeom>
                  </pic:spPr>
                </pic:pic>
              </a:graphicData>
            </a:graphic>
          </wp:inline>
        </w:drawing>
      </w:r>
    </w:p>
    <w:p w14:paraId="55AB9713" w14:textId="77777777" w:rsidR="00C3763C" w:rsidRDefault="008F65C6" w:rsidP="0072314C">
      <w:r>
        <w:t>Lynn Kelly</w:t>
      </w:r>
      <w:r>
        <w:br/>
        <w:t>Chairperson</w:t>
      </w:r>
      <w:r>
        <w:br/>
        <w:t>Superannuation Complaints Tribunal</w:t>
      </w:r>
    </w:p>
    <w:p w14:paraId="1A2DD5C8" w14:textId="5A69EA10" w:rsidR="008F65C6" w:rsidRPr="00DC76B2" w:rsidRDefault="008F65C6" w:rsidP="0072314C"/>
    <w:p w14:paraId="6CF1A8D9" w14:textId="77777777" w:rsidR="008F65C6" w:rsidRDefault="008F65C6">
      <w:pPr>
        <w:spacing w:before="0" w:after="160" w:line="259" w:lineRule="auto"/>
        <w:sectPr w:rsidR="008F65C6" w:rsidSect="000E5EC2">
          <w:footerReference w:type="default" r:id="rId17"/>
          <w:footerReference w:type="first" r:id="rId18"/>
          <w:pgSz w:w="11906" w:h="16838"/>
          <w:pgMar w:top="2041" w:right="1440" w:bottom="1701" w:left="1440" w:header="709" w:footer="709" w:gutter="0"/>
          <w:cols w:space="708"/>
          <w:titlePg/>
          <w:docGrid w:linePitch="360"/>
        </w:sectPr>
      </w:pPr>
    </w:p>
    <w:bookmarkStart w:id="0" w:name="_Toc82442762" w:displacedByCustomXml="next"/>
    <w:sdt>
      <w:sdtPr>
        <w:rPr>
          <w:color w:val="auto"/>
          <w:sz w:val="20"/>
          <w:szCs w:val="18"/>
        </w:rPr>
        <w:id w:val="-287445375"/>
        <w:docPartObj>
          <w:docPartGallery w:val="Table of Contents"/>
          <w:docPartUnique/>
        </w:docPartObj>
      </w:sdtPr>
      <w:sdtEndPr>
        <w:rPr>
          <w:b/>
          <w:bCs/>
          <w:noProof/>
        </w:rPr>
      </w:sdtEndPr>
      <w:sdtContent>
        <w:p w14:paraId="3BB06AA1" w14:textId="77777777" w:rsidR="00C41C5E" w:rsidRDefault="00C41C5E" w:rsidP="00C41C5E">
          <w:pPr>
            <w:pStyle w:val="ARH1-Mainsectionheading"/>
          </w:pPr>
          <w:r>
            <w:t>Contents</w:t>
          </w:r>
          <w:bookmarkEnd w:id="0"/>
        </w:p>
        <w:p w14:paraId="277DE2CC" w14:textId="251837C5" w:rsidR="0050078B" w:rsidRDefault="00C41C5E">
          <w:pPr>
            <w:pStyle w:val="TOC1"/>
            <w:tabs>
              <w:tab w:val="right" w:leader="dot" w:pos="9016"/>
            </w:tabs>
            <w:rPr>
              <w:rFonts w:asciiTheme="minorHAnsi" w:eastAsiaTheme="minorEastAsia" w:hAnsiTheme="minorHAnsi"/>
              <w:noProof/>
              <w:sz w:val="22"/>
              <w:szCs w:val="22"/>
              <w:lang w:eastAsia="en-AU"/>
            </w:rPr>
          </w:pPr>
          <w:r>
            <w:fldChar w:fldCharType="begin"/>
          </w:r>
          <w:r>
            <w:instrText xml:space="preserve"> TOC \h \z \t "AR H1 - Main section heading,1" </w:instrText>
          </w:r>
          <w:r>
            <w:fldChar w:fldCharType="separate"/>
          </w:r>
          <w:hyperlink w:anchor="_Toc82442763" w:history="1">
            <w:r w:rsidR="0050078B" w:rsidRPr="0074339E">
              <w:rPr>
                <w:rStyle w:val="Hyperlink"/>
                <w:noProof/>
              </w:rPr>
              <w:t>Superannuation Complaints Tribunal report</w:t>
            </w:r>
            <w:r w:rsidR="0050078B">
              <w:rPr>
                <w:noProof/>
                <w:webHidden/>
              </w:rPr>
              <w:tab/>
            </w:r>
            <w:r w:rsidR="0050078B">
              <w:rPr>
                <w:noProof/>
                <w:webHidden/>
              </w:rPr>
              <w:fldChar w:fldCharType="begin"/>
            </w:r>
            <w:r w:rsidR="0050078B">
              <w:rPr>
                <w:noProof/>
                <w:webHidden/>
              </w:rPr>
              <w:instrText xml:space="preserve"> PAGEREF _Toc82442763 \h </w:instrText>
            </w:r>
            <w:r w:rsidR="0050078B">
              <w:rPr>
                <w:noProof/>
                <w:webHidden/>
              </w:rPr>
            </w:r>
            <w:r w:rsidR="0050078B">
              <w:rPr>
                <w:noProof/>
                <w:webHidden/>
              </w:rPr>
              <w:fldChar w:fldCharType="separate"/>
            </w:r>
            <w:r w:rsidR="003770EC">
              <w:rPr>
                <w:noProof/>
                <w:webHidden/>
              </w:rPr>
              <w:t>1</w:t>
            </w:r>
            <w:r w:rsidR="0050078B">
              <w:rPr>
                <w:noProof/>
                <w:webHidden/>
              </w:rPr>
              <w:fldChar w:fldCharType="end"/>
            </w:r>
          </w:hyperlink>
        </w:p>
        <w:p w14:paraId="237265A8" w14:textId="27176AC4"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64" w:history="1">
            <w:r w:rsidR="0050078B" w:rsidRPr="0074339E">
              <w:rPr>
                <w:rStyle w:val="Hyperlink"/>
                <w:noProof/>
              </w:rPr>
              <w:t>Chairperson</w:t>
            </w:r>
            <w:r w:rsidR="0050078B">
              <w:rPr>
                <w:rStyle w:val="Hyperlink"/>
                <w:noProof/>
              </w:rPr>
              <w:t>’</w:t>
            </w:r>
            <w:r w:rsidR="0050078B" w:rsidRPr="0074339E">
              <w:rPr>
                <w:rStyle w:val="Hyperlink"/>
                <w:noProof/>
              </w:rPr>
              <w:t>s Review, January – June 2021</w:t>
            </w:r>
            <w:r w:rsidR="0050078B">
              <w:rPr>
                <w:noProof/>
                <w:webHidden/>
              </w:rPr>
              <w:tab/>
            </w:r>
            <w:r w:rsidR="0050078B">
              <w:rPr>
                <w:noProof/>
                <w:webHidden/>
              </w:rPr>
              <w:fldChar w:fldCharType="begin"/>
            </w:r>
            <w:r w:rsidR="0050078B">
              <w:rPr>
                <w:noProof/>
                <w:webHidden/>
              </w:rPr>
              <w:instrText xml:space="preserve"> PAGEREF _Toc82442764 \h </w:instrText>
            </w:r>
            <w:r w:rsidR="0050078B">
              <w:rPr>
                <w:noProof/>
                <w:webHidden/>
              </w:rPr>
            </w:r>
            <w:r w:rsidR="0050078B">
              <w:rPr>
                <w:noProof/>
                <w:webHidden/>
              </w:rPr>
              <w:fldChar w:fldCharType="separate"/>
            </w:r>
            <w:r w:rsidR="003770EC">
              <w:rPr>
                <w:noProof/>
                <w:webHidden/>
              </w:rPr>
              <w:t>2</w:t>
            </w:r>
            <w:r w:rsidR="0050078B">
              <w:rPr>
                <w:noProof/>
                <w:webHidden/>
              </w:rPr>
              <w:fldChar w:fldCharType="end"/>
            </w:r>
          </w:hyperlink>
        </w:p>
        <w:p w14:paraId="76B2A4B0" w14:textId="4A635600"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65" w:history="1">
            <w:r w:rsidR="0050078B" w:rsidRPr="0074339E">
              <w:rPr>
                <w:rStyle w:val="Hyperlink"/>
                <w:noProof/>
              </w:rPr>
              <w:t>Chairperson</w:t>
            </w:r>
            <w:r w:rsidR="0050078B">
              <w:rPr>
                <w:rStyle w:val="Hyperlink"/>
                <w:noProof/>
              </w:rPr>
              <w:t>’</w:t>
            </w:r>
            <w:r w:rsidR="0050078B" w:rsidRPr="0074339E">
              <w:rPr>
                <w:rStyle w:val="Hyperlink"/>
                <w:noProof/>
              </w:rPr>
              <w:t>s Review, July – December 2020</w:t>
            </w:r>
            <w:r w:rsidR="0050078B">
              <w:rPr>
                <w:noProof/>
                <w:webHidden/>
              </w:rPr>
              <w:tab/>
            </w:r>
            <w:r w:rsidR="0050078B">
              <w:rPr>
                <w:noProof/>
                <w:webHidden/>
              </w:rPr>
              <w:fldChar w:fldCharType="begin"/>
            </w:r>
            <w:r w:rsidR="0050078B">
              <w:rPr>
                <w:noProof/>
                <w:webHidden/>
              </w:rPr>
              <w:instrText xml:space="preserve"> PAGEREF _Toc82442765 \h </w:instrText>
            </w:r>
            <w:r w:rsidR="0050078B">
              <w:rPr>
                <w:noProof/>
                <w:webHidden/>
              </w:rPr>
            </w:r>
            <w:r w:rsidR="0050078B">
              <w:rPr>
                <w:noProof/>
                <w:webHidden/>
              </w:rPr>
              <w:fldChar w:fldCharType="separate"/>
            </w:r>
            <w:r w:rsidR="003770EC">
              <w:rPr>
                <w:noProof/>
                <w:webHidden/>
              </w:rPr>
              <w:t>3</w:t>
            </w:r>
            <w:r w:rsidR="0050078B">
              <w:rPr>
                <w:noProof/>
                <w:webHidden/>
              </w:rPr>
              <w:fldChar w:fldCharType="end"/>
            </w:r>
          </w:hyperlink>
        </w:p>
        <w:p w14:paraId="3E64D8CB" w14:textId="414AD09A"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66" w:history="1">
            <w:r w:rsidR="0050078B" w:rsidRPr="0074339E">
              <w:rPr>
                <w:rStyle w:val="Hyperlink"/>
                <w:noProof/>
              </w:rPr>
              <w:t>Role and functions</w:t>
            </w:r>
            <w:r w:rsidR="0050078B">
              <w:rPr>
                <w:noProof/>
                <w:webHidden/>
              </w:rPr>
              <w:tab/>
            </w:r>
            <w:r w:rsidR="0050078B">
              <w:rPr>
                <w:noProof/>
                <w:webHidden/>
              </w:rPr>
              <w:fldChar w:fldCharType="begin"/>
            </w:r>
            <w:r w:rsidR="0050078B">
              <w:rPr>
                <w:noProof/>
                <w:webHidden/>
              </w:rPr>
              <w:instrText xml:space="preserve"> PAGEREF _Toc82442766 \h </w:instrText>
            </w:r>
            <w:r w:rsidR="0050078B">
              <w:rPr>
                <w:noProof/>
                <w:webHidden/>
              </w:rPr>
            </w:r>
            <w:r w:rsidR="0050078B">
              <w:rPr>
                <w:noProof/>
                <w:webHidden/>
              </w:rPr>
              <w:fldChar w:fldCharType="separate"/>
            </w:r>
            <w:r w:rsidR="003770EC">
              <w:rPr>
                <w:noProof/>
                <w:webHidden/>
              </w:rPr>
              <w:t>5</w:t>
            </w:r>
            <w:r w:rsidR="0050078B">
              <w:rPr>
                <w:noProof/>
                <w:webHidden/>
              </w:rPr>
              <w:fldChar w:fldCharType="end"/>
            </w:r>
          </w:hyperlink>
        </w:p>
        <w:p w14:paraId="3DDDAA1B" w14:textId="7D068A6D"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67" w:history="1">
            <w:r w:rsidR="0050078B" w:rsidRPr="0074339E">
              <w:rPr>
                <w:rStyle w:val="Hyperlink"/>
                <w:noProof/>
              </w:rPr>
              <w:t>Organisation and structure</w:t>
            </w:r>
            <w:r w:rsidR="0050078B">
              <w:rPr>
                <w:noProof/>
                <w:webHidden/>
              </w:rPr>
              <w:tab/>
            </w:r>
            <w:r w:rsidR="0050078B">
              <w:rPr>
                <w:noProof/>
                <w:webHidden/>
              </w:rPr>
              <w:fldChar w:fldCharType="begin"/>
            </w:r>
            <w:r w:rsidR="0050078B">
              <w:rPr>
                <w:noProof/>
                <w:webHidden/>
              </w:rPr>
              <w:instrText xml:space="preserve"> PAGEREF _Toc82442767 \h </w:instrText>
            </w:r>
            <w:r w:rsidR="0050078B">
              <w:rPr>
                <w:noProof/>
                <w:webHidden/>
              </w:rPr>
            </w:r>
            <w:r w:rsidR="0050078B">
              <w:rPr>
                <w:noProof/>
                <w:webHidden/>
              </w:rPr>
              <w:fldChar w:fldCharType="separate"/>
            </w:r>
            <w:r w:rsidR="003770EC">
              <w:rPr>
                <w:noProof/>
                <w:webHidden/>
              </w:rPr>
              <w:t>9</w:t>
            </w:r>
            <w:r w:rsidR="0050078B">
              <w:rPr>
                <w:noProof/>
                <w:webHidden/>
              </w:rPr>
              <w:fldChar w:fldCharType="end"/>
            </w:r>
          </w:hyperlink>
        </w:p>
        <w:p w14:paraId="7BD396C9" w14:textId="4541B087"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68" w:history="1">
            <w:r w:rsidR="0050078B" w:rsidRPr="0074339E">
              <w:rPr>
                <w:rStyle w:val="Hyperlink"/>
                <w:noProof/>
              </w:rPr>
              <w:t>Human resources</w:t>
            </w:r>
            <w:r w:rsidR="0050078B">
              <w:rPr>
                <w:noProof/>
                <w:webHidden/>
              </w:rPr>
              <w:tab/>
            </w:r>
            <w:r w:rsidR="0050078B">
              <w:rPr>
                <w:noProof/>
                <w:webHidden/>
              </w:rPr>
              <w:fldChar w:fldCharType="begin"/>
            </w:r>
            <w:r w:rsidR="0050078B">
              <w:rPr>
                <w:noProof/>
                <w:webHidden/>
              </w:rPr>
              <w:instrText xml:space="preserve"> PAGEREF _Toc82442768 \h </w:instrText>
            </w:r>
            <w:r w:rsidR="0050078B">
              <w:rPr>
                <w:noProof/>
                <w:webHidden/>
              </w:rPr>
            </w:r>
            <w:r w:rsidR="0050078B">
              <w:rPr>
                <w:noProof/>
                <w:webHidden/>
              </w:rPr>
              <w:fldChar w:fldCharType="separate"/>
            </w:r>
            <w:r w:rsidR="003770EC">
              <w:rPr>
                <w:noProof/>
                <w:webHidden/>
              </w:rPr>
              <w:t>10</w:t>
            </w:r>
            <w:r w:rsidR="0050078B">
              <w:rPr>
                <w:noProof/>
                <w:webHidden/>
              </w:rPr>
              <w:fldChar w:fldCharType="end"/>
            </w:r>
          </w:hyperlink>
        </w:p>
        <w:p w14:paraId="7F4C9A12" w14:textId="0E9724D0"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69" w:history="1">
            <w:r w:rsidR="0050078B" w:rsidRPr="0074339E">
              <w:rPr>
                <w:rStyle w:val="Hyperlink"/>
                <w:noProof/>
              </w:rPr>
              <w:t>Referral of complaints</w:t>
            </w:r>
            <w:r w:rsidR="0050078B">
              <w:rPr>
                <w:noProof/>
                <w:webHidden/>
              </w:rPr>
              <w:tab/>
            </w:r>
            <w:r w:rsidR="0050078B">
              <w:rPr>
                <w:noProof/>
                <w:webHidden/>
              </w:rPr>
              <w:fldChar w:fldCharType="begin"/>
            </w:r>
            <w:r w:rsidR="0050078B">
              <w:rPr>
                <w:noProof/>
                <w:webHidden/>
              </w:rPr>
              <w:instrText xml:space="preserve"> PAGEREF _Toc82442769 \h </w:instrText>
            </w:r>
            <w:r w:rsidR="0050078B">
              <w:rPr>
                <w:noProof/>
                <w:webHidden/>
              </w:rPr>
            </w:r>
            <w:r w:rsidR="0050078B">
              <w:rPr>
                <w:noProof/>
                <w:webHidden/>
              </w:rPr>
              <w:fldChar w:fldCharType="separate"/>
            </w:r>
            <w:r w:rsidR="003770EC">
              <w:rPr>
                <w:noProof/>
                <w:webHidden/>
              </w:rPr>
              <w:t>14</w:t>
            </w:r>
            <w:r w:rsidR="0050078B">
              <w:rPr>
                <w:noProof/>
                <w:webHidden/>
              </w:rPr>
              <w:fldChar w:fldCharType="end"/>
            </w:r>
          </w:hyperlink>
        </w:p>
        <w:p w14:paraId="38BFAAE3" w14:textId="62776264"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70" w:history="1">
            <w:r w:rsidR="0050078B" w:rsidRPr="0074339E">
              <w:rPr>
                <w:rStyle w:val="Hyperlink"/>
                <w:noProof/>
              </w:rPr>
              <w:t>The responsible Minister</w:t>
            </w:r>
            <w:r w:rsidR="0050078B">
              <w:rPr>
                <w:noProof/>
                <w:webHidden/>
              </w:rPr>
              <w:tab/>
            </w:r>
            <w:r w:rsidR="0050078B">
              <w:rPr>
                <w:noProof/>
                <w:webHidden/>
              </w:rPr>
              <w:fldChar w:fldCharType="begin"/>
            </w:r>
            <w:r w:rsidR="0050078B">
              <w:rPr>
                <w:noProof/>
                <w:webHidden/>
              </w:rPr>
              <w:instrText xml:space="preserve"> PAGEREF _Toc82442770 \h </w:instrText>
            </w:r>
            <w:r w:rsidR="0050078B">
              <w:rPr>
                <w:noProof/>
                <w:webHidden/>
              </w:rPr>
            </w:r>
            <w:r w:rsidR="0050078B">
              <w:rPr>
                <w:noProof/>
                <w:webHidden/>
              </w:rPr>
              <w:fldChar w:fldCharType="separate"/>
            </w:r>
            <w:r w:rsidR="003770EC">
              <w:rPr>
                <w:noProof/>
                <w:webHidden/>
              </w:rPr>
              <w:t>15</w:t>
            </w:r>
            <w:r w:rsidR="0050078B">
              <w:rPr>
                <w:noProof/>
                <w:webHidden/>
              </w:rPr>
              <w:fldChar w:fldCharType="end"/>
            </w:r>
          </w:hyperlink>
        </w:p>
        <w:p w14:paraId="2C0B942B" w14:textId="29265AFB"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71" w:history="1">
            <w:r w:rsidR="0050078B" w:rsidRPr="0074339E">
              <w:rPr>
                <w:rStyle w:val="Hyperlink"/>
                <w:noProof/>
              </w:rPr>
              <w:t>Jurisdiction</w:t>
            </w:r>
            <w:r w:rsidR="0050078B">
              <w:rPr>
                <w:noProof/>
                <w:webHidden/>
              </w:rPr>
              <w:tab/>
            </w:r>
            <w:r w:rsidR="0050078B">
              <w:rPr>
                <w:noProof/>
                <w:webHidden/>
              </w:rPr>
              <w:fldChar w:fldCharType="begin"/>
            </w:r>
            <w:r w:rsidR="0050078B">
              <w:rPr>
                <w:noProof/>
                <w:webHidden/>
              </w:rPr>
              <w:instrText xml:space="preserve"> PAGEREF _Toc82442771 \h </w:instrText>
            </w:r>
            <w:r w:rsidR="0050078B">
              <w:rPr>
                <w:noProof/>
                <w:webHidden/>
              </w:rPr>
            </w:r>
            <w:r w:rsidR="0050078B">
              <w:rPr>
                <w:noProof/>
                <w:webHidden/>
              </w:rPr>
              <w:fldChar w:fldCharType="separate"/>
            </w:r>
            <w:r w:rsidR="003770EC">
              <w:rPr>
                <w:noProof/>
                <w:webHidden/>
              </w:rPr>
              <w:t>16</w:t>
            </w:r>
            <w:r w:rsidR="0050078B">
              <w:rPr>
                <w:noProof/>
                <w:webHidden/>
              </w:rPr>
              <w:fldChar w:fldCharType="end"/>
            </w:r>
          </w:hyperlink>
        </w:p>
        <w:p w14:paraId="533FF6F5" w14:textId="3E6AEA8F"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72" w:history="1">
            <w:r w:rsidR="0050078B" w:rsidRPr="0074339E">
              <w:rPr>
                <w:rStyle w:val="Hyperlink"/>
                <w:noProof/>
              </w:rPr>
              <w:t>Complaints finalised</w:t>
            </w:r>
            <w:r w:rsidR="0050078B">
              <w:rPr>
                <w:noProof/>
                <w:webHidden/>
              </w:rPr>
              <w:tab/>
            </w:r>
            <w:r w:rsidR="0050078B">
              <w:rPr>
                <w:noProof/>
                <w:webHidden/>
              </w:rPr>
              <w:fldChar w:fldCharType="begin"/>
            </w:r>
            <w:r w:rsidR="0050078B">
              <w:rPr>
                <w:noProof/>
                <w:webHidden/>
              </w:rPr>
              <w:instrText xml:space="preserve"> PAGEREF _Toc82442772 \h </w:instrText>
            </w:r>
            <w:r w:rsidR="0050078B">
              <w:rPr>
                <w:noProof/>
                <w:webHidden/>
              </w:rPr>
            </w:r>
            <w:r w:rsidR="0050078B">
              <w:rPr>
                <w:noProof/>
                <w:webHidden/>
              </w:rPr>
              <w:fldChar w:fldCharType="separate"/>
            </w:r>
            <w:r w:rsidR="003770EC">
              <w:rPr>
                <w:noProof/>
                <w:webHidden/>
              </w:rPr>
              <w:t>16</w:t>
            </w:r>
            <w:r w:rsidR="0050078B">
              <w:rPr>
                <w:noProof/>
                <w:webHidden/>
              </w:rPr>
              <w:fldChar w:fldCharType="end"/>
            </w:r>
          </w:hyperlink>
        </w:p>
        <w:p w14:paraId="57F1FDD4" w14:textId="1604833A"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73" w:history="1">
            <w:r w:rsidR="0050078B" w:rsidRPr="0074339E">
              <w:rPr>
                <w:rStyle w:val="Hyperlink"/>
                <w:noProof/>
              </w:rPr>
              <w:t>Conciliation</w:t>
            </w:r>
            <w:r w:rsidR="0050078B">
              <w:rPr>
                <w:noProof/>
                <w:webHidden/>
              </w:rPr>
              <w:tab/>
            </w:r>
            <w:r w:rsidR="0050078B">
              <w:rPr>
                <w:noProof/>
                <w:webHidden/>
              </w:rPr>
              <w:fldChar w:fldCharType="begin"/>
            </w:r>
            <w:r w:rsidR="0050078B">
              <w:rPr>
                <w:noProof/>
                <w:webHidden/>
              </w:rPr>
              <w:instrText xml:space="preserve"> PAGEREF _Toc82442773 \h </w:instrText>
            </w:r>
            <w:r w:rsidR="0050078B">
              <w:rPr>
                <w:noProof/>
                <w:webHidden/>
              </w:rPr>
            </w:r>
            <w:r w:rsidR="0050078B">
              <w:rPr>
                <w:noProof/>
                <w:webHidden/>
              </w:rPr>
              <w:fldChar w:fldCharType="separate"/>
            </w:r>
            <w:r w:rsidR="003770EC">
              <w:rPr>
                <w:noProof/>
                <w:webHidden/>
              </w:rPr>
              <w:t>17</w:t>
            </w:r>
            <w:r w:rsidR="0050078B">
              <w:rPr>
                <w:noProof/>
                <w:webHidden/>
              </w:rPr>
              <w:fldChar w:fldCharType="end"/>
            </w:r>
          </w:hyperlink>
        </w:p>
        <w:p w14:paraId="79A38C46" w14:textId="7C17A379"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74" w:history="1">
            <w:r w:rsidR="0050078B" w:rsidRPr="0074339E">
              <w:rPr>
                <w:rStyle w:val="Hyperlink"/>
                <w:noProof/>
              </w:rPr>
              <w:t>Review</w:t>
            </w:r>
            <w:r w:rsidR="0050078B">
              <w:rPr>
                <w:noProof/>
                <w:webHidden/>
              </w:rPr>
              <w:tab/>
            </w:r>
            <w:r w:rsidR="0050078B">
              <w:rPr>
                <w:noProof/>
                <w:webHidden/>
              </w:rPr>
              <w:fldChar w:fldCharType="begin"/>
            </w:r>
            <w:r w:rsidR="0050078B">
              <w:rPr>
                <w:noProof/>
                <w:webHidden/>
              </w:rPr>
              <w:instrText xml:space="preserve"> PAGEREF _Toc82442774 \h </w:instrText>
            </w:r>
            <w:r w:rsidR="0050078B">
              <w:rPr>
                <w:noProof/>
                <w:webHidden/>
              </w:rPr>
            </w:r>
            <w:r w:rsidR="0050078B">
              <w:rPr>
                <w:noProof/>
                <w:webHidden/>
              </w:rPr>
              <w:fldChar w:fldCharType="separate"/>
            </w:r>
            <w:r w:rsidR="003770EC">
              <w:rPr>
                <w:noProof/>
                <w:webHidden/>
              </w:rPr>
              <w:t>18</w:t>
            </w:r>
            <w:r w:rsidR="0050078B">
              <w:rPr>
                <w:noProof/>
                <w:webHidden/>
              </w:rPr>
              <w:fldChar w:fldCharType="end"/>
            </w:r>
          </w:hyperlink>
        </w:p>
        <w:p w14:paraId="1249469A" w14:textId="135FCB21"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75" w:history="1">
            <w:r w:rsidR="0050078B" w:rsidRPr="0074339E">
              <w:rPr>
                <w:rStyle w:val="Hyperlink"/>
                <w:noProof/>
              </w:rPr>
              <w:t>Chairperson and Deputy Chairperson, July – December 2020</w:t>
            </w:r>
            <w:r w:rsidR="0050078B">
              <w:rPr>
                <w:noProof/>
                <w:webHidden/>
              </w:rPr>
              <w:tab/>
            </w:r>
            <w:r w:rsidR="0050078B">
              <w:rPr>
                <w:noProof/>
                <w:webHidden/>
              </w:rPr>
              <w:fldChar w:fldCharType="begin"/>
            </w:r>
            <w:r w:rsidR="0050078B">
              <w:rPr>
                <w:noProof/>
                <w:webHidden/>
              </w:rPr>
              <w:instrText xml:space="preserve"> PAGEREF _Toc82442775 \h </w:instrText>
            </w:r>
            <w:r w:rsidR="0050078B">
              <w:rPr>
                <w:noProof/>
                <w:webHidden/>
              </w:rPr>
            </w:r>
            <w:r w:rsidR="0050078B">
              <w:rPr>
                <w:noProof/>
                <w:webHidden/>
              </w:rPr>
              <w:fldChar w:fldCharType="separate"/>
            </w:r>
            <w:r w:rsidR="003770EC">
              <w:rPr>
                <w:noProof/>
                <w:webHidden/>
              </w:rPr>
              <w:t>19</w:t>
            </w:r>
            <w:r w:rsidR="0050078B">
              <w:rPr>
                <w:noProof/>
                <w:webHidden/>
              </w:rPr>
              <w:fldChar w:fldCharType="end"/>
            </w:r>
          </w:hyperlink>
        </w:p>
        <w:p w14:paraId="20264E73" w14:textId="719CAC1A"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76" w:history="1">
            <w:r w:rsidR="0050078B" w:rsidRPr="0074339E">
              <w:rPr>
                <w:rStyle w:val="Hyperlink"/>
                <w:noProof/>
              </w:rPr>
              <w:t>Tribunal Members</w:t>
            </w:r>
            <w:r w:rsidR="0050078B">
              <w:rPr>
                <w:noProof/>
                <w:webHidden/>
              </w:rPr>
              <w:tab/>
            </w:r>
            <w:r w:rsidR="0050078B">
              <w:rPr>
                <w:noProof/>
                <w:webHidden/>
              </w:rPr>
              <w:fldChar w:fldCharType="begin"/>
            </w:r>
            <w:r w:rsidR="0050078B">
              <w:rPr>
                <w:noProof/>
                <w:webHidden/>
              </w:rPr>
              <w:instrText xml:space="preserve"> PAGEREF _Toc82442776 \h </w:instrText>
            </w:r>
            <w:r w:rsidR="0050078B">
              <w:rPr>
                <w:noProof/>
                <w:webHidden/>
              </w:rPr>
            </w:r>
            <w:r w:rsidR="0050078B">
              <w:rPr>
                <w:noProof/>
                <w:webHidden/>
              </w:rPr>
              <w:fldChar w:fldCharType="separate"/>
            </w:r>
            <w:r w:rsidR="003770EC">
              <w:rPr>
                <w:noProof/>
                <w:webHidden/>
              </w:rPr>
              <w:t>21</w:t>
            </w:r>
            <w:r w:rsidR="0050078B">
              <w:rPr>
                <w:noProof/>
                <w:webHidden/>
              </w:rPr>
              <w:fldChar w:fldCharType="end"/>
            </w:r>
          </w:hyperlink>
        </w:p>
        <w:p w14:paraId="789C56B5" w14:textId="211B7EF5"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77" w:history="1">
            <w:r w:rsidR="0050078B" w:rsidRPr="0074339E">
              <w:rPr>
                <w:rStyle w:val="Hyperlink"/>
                <w:noProof/>
              </w:rPr>
              <w:t>Corporate Governance</w:t>
            </w:r>
            <w:r w:rsidR="0050078B">
              <w:rPr>
                <w:noProof/>
                <w:webHidden/>
              </w:rPr>
              <w:tab/>
            </w:r>
            <w:r w:rsidR="0050078B">
              <w:rPr>
                <w:noProof/>
                <w:webHidden/>
              </w:rPr>
              <w:fldChar w:fldCharType="begin"/>
            </w:r>
            <w:r w:rsidR="0050078B">
              <w:rPr>
                <w:noProof/>
                <w:webHidden/>
              </w:rPr>
              <w:instrText xml:space="preserve"> PAGEREF _Toc82442777 \h </w:instrText>
            </w:r>
            <w:r w:rsidR="0050078B">
              <w:rPr>
                <w:noProof/>
                <w:webHidden/>
              </w:rPr>
            </w:r>
            <w:r w:rsidR="0050078B">
              <w:rPr>
                <w:noProof/>
                <w:webHidden/>
              </w:rPr>
              <w:fldChar w:fldCharType="separate"/>
            </w:r>
            <w:r w:rsidR="003770EC">
              <w:rPr>
                <w:noProof/>
                <w:webHidden/>
              </w:rPr>
              <w:t>22</w:t>
            </w:r>
            <w:r w:rsidR="0050078B">
              <w:rPr>
                <w:noProof/>
                <w:webHidden/>
              </w:rPr>
              <w:fldChar w:fldCharType="end"/>
            </w:r>
          </w:hyperlink>
        </w:p>
        <w:p w14:paraId="20B76228" w14:textId="2341989E"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78" w:history="1">
            <w:r w:rsidR="0050078B" w:rsidRPr="0074339E">
              <w:rPr>
                <w:rStyle w:val="Hyperlink"/>
                <w:noProof/>
              </w:rPr>
              <w:t>External scrutiny</w:t>
            </w:r>
            <w:r w:rsidR="0050078B">
              <w:rPr>
                <w:noProof/>
                <w:webHidden/>
              </w:rPr>
              <w:tab/>
            </w:r>
            <w:r w:rsidR="0050078B">
              <w:rPr>
                <w:noProof/>
                <w:webHidden/>
              </w:rPr>
              <w:fldChar w:fldCharType="begin"/>
            </w:r>
            <w:r w:rsidR="0050078B">
              <w:rPr>
                <w:noProof/>
                <w:webHidden/>
              </w:rPr>
              <w:instrText xml:space="preserve"> PAGEREF _Toc82442778 \h </w:instrText>
            </w:r>
            <w:r w:rsidR="0050078B">
              <w:rPr>
                <w:noProof/>
                <w:webHidden/>
              </w:rPr>
            </w:r>
            <w:r w:rsidR="0050078B">
              <w:rPr>
                <w:noProof/>
                <w:webHidden/>
              </w:rPr>
              <w:fldChar w:fldCharType="separate"/>
            </w:r>
            <w:r w:rsidR="003770EC">
              <w:rPr>
                <w:noProof/>
                <w:webHidden/>
              </w:rPr>
              <w:t>23</w:t>
            </w:r>
            <w:r w:rsidR="0050078B">
              <w:rPr>
                <w:noProof/>
                <w:webHidden/>
              </w:rPr>
              <w:fldChar w:fldCharType="end"/>
            </w:r>
          </w:hyperlink>
        </w:p>
        <w:p w14:paraId="363D4A82" w14:textId="65544D65"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79" w:history="1">
            <w:r w:rsidR="0050078B" w:rsidRPr="0074339E">
              <w:rPr>
                <w:rStyle w:val="Hyperlink"/>
                <w:noProof/>
              </w:rPr>
              <w:t>Appendices</w:t>
            </w:r>
            <w:r w:rsidR="0050078B">
              <w:rPr>
                <w:noProof/>
                <w:webHidden/>
              </w:rPr>
              <w:tab/>
            </w:r>
            <w:r w:rsidR="0050078B">
              <w:rPr>
                <w:noProof/>
                <w:webHidden/>
              </w:rPr>
              <w:fldChar w:fldCharType="begin"/>
            </w:r>
            <w:r w:rsidR="0050078B">
              <w:rPr>
                <w:noProof/>
                <w:webHidden/>
              </w:rPr>
              <w:instrText xml:space="preserve"> PAGEREF _Toc82442779 \h </w:instrText>
            </w:r>
            <w:r w:rsidR="0050078B">
              <w:rPr>
                <w:noProof/>
                <w:webHidden/>
              </w:rPr>
            </w:r>
            <w:r w:rsidR="0050078B">
              <w:rPr>
                <w:noProof/>
                <w:webHidden/>
              </w:rPr>
              <w:fldChar w:fldCharType="separate"/>
            </w:r>
            <w:r w:rsidR="003770EC">
              <w:rPr>
                <w:noProof/>
                <w:webHidden/>
              </w:rPr>
              <w:t>26</w:t>
            </w:r>
            <w:r w:rsidR="0050078B">
              <w:rPr>
                <w:noProof/>
                <w:webHidden/>
              </w:rPr>
              <w:fldChar w:fldCharType="end"/>
            </w:r>
          </w:hyperlink>
        </w:p>
        <w:p w14:paraId="68603CFC" w14:textId="5B21CF8D" w:rsidR="0050078B" w:rsidRDefault="00361237">
          <w:pPr>
            <w:pStyle w:val="TOC1"/>
            <w:tabs>
              <w:tab w:val="right" w:leader="dot" w:pos="9016"/>
            </w:tabs>
            <w:rPr>
              <w:rFonts w:asciiTheme="minorHAnsi" w:eastAsiaTheme="minorEastAsia" w:hAnsiTheme="minorHAnsi"/>
              <w:noProof/>
              <w:sz w:val="22"/>
              <w:szCs w:val="22"/>
              <w:lang w:eastAsia="en-AU"/>
            </w:rPr>
          </w:pPr>
          <w:hyperlink w:anchor="_Toc82442780" w:history="1">
            <w:r w:rsidR="0050078B" w:rsidRPr="0074339E">
              <w:rPr>
                <w:rStyle w:val="Hyperlink"/>
                <w:noProof/>
              </w:rPr>
              <w:t>Glossary</w:t>
            </w:r>
            <w:r w:rsidR="0050078B">
              <w:rPr>
                <w:noProof/>
                <w:webHidden/>
              </w:rPr>
              <w:tab/>
            </w:r>
            <w:r w:rsidR="0050078B">
              <w:rPr>
                <w:noProof/>
                <w:webHidden/>
              </w:rPr>
              <w:fldChar w:fldCharType="begin"/>
            </w:r>
            <w:r w:rsidR="0050078B">
              <w:rPr>
                <w:noProof/>
                <w:webHidden/>
              </w:rPr>
              <w:instrText xml:space="preserve"> PAGEREF _Toc82442780 \h </w:instrText>
            </w:r>
            <w:r w:rsidR="0050078B">
              <w:rPr>
                <w:noProof/>
                <w:webHidden/>
              </w:rPr>
            </w:r>
            <w:r w:rsidR="0050078B">
              <w:rPr>
                <w:noProof/>
                <w:webHidden/>
              </w:rPr>
              <w:fldChar w:fldCharType="separate"/>
            </w:r>
            <w:r w:rsidR="003770EC">
              <w:rPr>
                <w:noProof/>
                <w:webHidden/>
              </w:rPr>
              <w:t>46</w:t>
            </w:r>
            <w:r w:rsidR="0050078B">
              <w:rPr>
                <w:noProof/>
                <w:webHidden/>
              </w:rPr>
              <w:fldChar w:fldCharType="end"/>
            </w:r>
          </w:hyperlink>
        </w:p>
        <w:p w14:paraId="348129A2" w14:textId="4F106EA1" w:rsidR="00C41C5E" w:rsidRDefault="00C41C5E" w:rsidP="00C41C5E">
          <w:pPr>
            <w:rPr>
              <w:b/>
              <w:bCs/>
              <w:noProof/>
            </w:rPr>
          </w:pPr>
          <w:r>
            <w:fldChar w:fldCharType="end"/>
          </w:r>
        </w:p>
      </w:sdtContent>
    </w:sdt>
    <w:p w14:paraId="0F456C12" w14:textId="77777777" w:rsidR="00C41C5E" w:rsidRDefault="00C41C5E" w:rsidP="00C41C5E">
      <w:pPr>
        <w:sectPr w:rsidR="00C41C5E" w:rsidSect="008F65C6">
          <w:type w:val="oddPage"/>
          <w:pgSz w:w="11906" w:h="16838"/>
          <w:pgMar w:top="2041" w:right="1440" w:bottom="1701" w:left="1440" w:header="709" w:footer="709" w:gutter="0"/>
          <w:cols w:space="708"/>
          <w:titlePg/>
          <w:docGrid w:linePitch="360"/>
        </w:sectPr>
      </w:pPr>
    </w:p>
    <w:p w14:paraId="4762D4C3" w14:textId="3BCA86DA" w:rsidR="00291E5E" w:rsidRPr="00D579F2" w:rsidRDefault="00291E5E" w:rsidP="00C41C5E">
      <w:pPr>
        <w:pStyle w:val="ARH1-Mainsectionheading"/>
        <w:spacing w:before="0"/>
      </w:pPr>
      <w:bookmarkStart w:id="1" w:name="_Toc82442763"/>
      <w:r w:rsidRPr="00D579F2">
        <w:lastRenderedPageBreak/>
        <w:t>Superannuation Complaints Tribunal report</w:t>
      </w:r>
      <w:bookmarkEnd w:id="1"/>
    </w:p>
    <w:p w14:paraId="358913AF" w14:textId="23E601E2" w:rsidR="00291E5E" w:rsidRPr="00D579F2" w:rsidRDefault="00291E5E" w:rsidP="00D579F2">
      <w:pPr>
        <w:pStyle w:val="ARH2-Bodycopyheadinglevel1"/>
      </w:pPr>
      <w:r w:rsidRPr="00D579F2">
        <w:t>About the Superannuation Complaints Tribunal</w:t>
      </w:r>
    </w:p>
    <w:p w14:paraId="66C4E80E" w14:textId="14B1005D" w:rsidR="00291E5E" w:rsidRPr="00291E5E" w:rsidRDefault="00291E5E" w:rsidP="00B12301">
      <w:r w:rsidRPr="00291E5E">
        <w:t>The Superannuation Complaints Tribunal (Tribunal) was an independent dispute resolution body. The Tribunal managed a diverse range of superannuation</w:t>
      </w:r>
      <w:r w:rsidR="0050078B">
        <w:noBreakHyphen/>
      </w:r>
      <w:r w:rsidRPr="00291E5E">
        <w:t>related complaints received on or before 31 October 2018 and offered a free, user</w:t>
      </w:r>
      <w:r w:rsidR="0050078B">
        <w:noBreakHyphen/>
      </w:r>
      <w:r w:rsidRPr="00291E5E">
        <w:t xml:space="preserve">friendly alternative to the court system. </w:t>
      </w:r>
    </w:p>
    <w:p w14:paraId="2B0745DE" w14:textId="77777777" w:rsidR="00291E5E" w:rsidRPr="00291E5E" w:rsidRDefault="00291E5E" w:rsidP="00B12301">
      <w:r w:rsidRPr="00291E5E">
        <w:t>The Tribunal was required to provide mechanisms that were fair, economical, informal and quick for the purposes of inquiring into, conciliating and reviewing complaints.</w:t>
      </w:r>
    </w:p>
    <w:p w14:paraId="511014E3" w14:textId="7EF11F0F" w:rsidR="00291E5E" w:rsidRPr="00291E5E" w:rsidRDefault="00291E5E" w:rsidP="00B12301">
      <w:r w:rsidRPr="00291E5E">
        <w:t>On 18 December 2017, the Government announced that the Tribunal will cease by June</w:t>
      </w:r>
      <w:r w:rsidR="002F7E97">
        <w:t> </w:t>
      </w:r>
      <w:r w:rsidRPr="00291E5E">
        <w:t>2020. In April 2019 the end date of the Tribunal was extended to December 2020.</w:t>
      </w:r>
    </w:p>
    <w:p w14:paraId="70FE2DFD" w14:textId="4AB7F5F7" w:rsidR="00291E5E" w:rsidRPr="00291E5E" w:rsidRDefault="00291E5E" w:rsidP="00D579F2">
      <w:pPr>
        <w:pStyle w:val="ARH2-Bodycopyheadinglevel1"/>
      </w:pPr>
      <w:r w:rsidRPr="00291E5E">
        <w:t>About this report</w:t>
      </w:r>
      <w:bookmarkStart w:id="2" w:name="_Hlk46479553"/>
    </w:p>
    <w:p w14:paraId="623747D5" w14:textId="657E8B70" w:rsidR="00291E5E" w:rsidRPr="00291E5E" w:rsidRDefault="00291E5E" w:rsidP="00B12301">
      <w:bookmarkStart w:id="3" w:name="_Hlk82696924"/>
      <w:r w:rsidRPr="00291E5E">
        <w:t>This report is a record of activities during</w:t>
      </w:r>
      <w:r w:rsidR="00DB7CA5">
        <w:t xml:space="preserve"> the financial year 2020</w:t>
      </w:r>
      <w:r w:rsidR="0050078B">
        <w:noBreakHyphen/>
      </w:r>
      <w:r w:rsidR="00DB7CA5">
        <w:t>21, with a focus on</w:t>
      </w:r>
      <w:r w:rsidRPr="00291E5E">
        <w:t xml:space="preserve"> the six</w:t>
      </w:r>
      <w:r w:rsidR="00174C2B">
        <w:t> </w:t>
      </w:r>
      <w:r w:rsidRPr="00291E5E">
        <w:t xml:space="preserve">months </w:t>
      </w:r>
      <w:r w:rsidR="008E15C1">
        <w:t xml:space="preserve">during which the </w:t>
      </w:r>
      <w:r w:rsidRPr="00291E5E">
        <w:t>Tribunal</w:t>
      </w:r>
      <w:r w:rsidR="008E15C1">
        <w:t xml:space="preserve"> was operational</w:t>
      </w:r>
      <w:r w:rsidRPr="00291E5E">
        <w:t xml:space="preserve"> (July 2020 to December 2020). </w:t>
      </w:r>
    </w:p>
    <w:bookmarkEnd w:id="3"/>
    <w:p w14:paraId="7DCB9935" w14:textId="77777777" w:rsidR="00291E5E" w:rsidRPr="00291E5E" w:rsidRDefault="00291E5E" w:rsidP="00B12301">
      <w:r w:rsidRPr="00291E5E">
        <w:t xml:space="preserve">This report was prepared in accordance with s 67 of the </w:t>
      </w:r>
      <w:r w:rsidRPr="009B68BF">
        <w:rPr>
          <w:i/>
          <w:iCs/>
        </w:rPr>
        <w:t>Superannuation (Resolution of Complaints) Act 1993</w:t>
      </w:r>
      <w:r w:rsidRPr="00291E5E">
        <w:t xml:space="preserve"> (the SRC Act) and the </w:t>
      </w:r>
      <w:r w:rsidRPr="009B68BF">
        <w:rPr>
          <w:i/>
          <w:iCs/>
        </w:rPr>
        <w:t>Public Governance, Performance and Accountability Act 2013</w:t>
      </w:r>
      <w:r w:rsidRPr="00291E5E">
        <w:t xml:space="preserve"> (PGPA Act).</w:t>
      </w:r>
    </w:p>
    <w:p w14:paraId="06C17680" w14:textId="77777777" w:rsidR="00291E5E" w:rsidRPr="00291E5E" w:rsidRDefault="00291E5E" w:rsidP="00B12301">
      <w:r w:rsidRPr="00291E5E">
        <w:t>The focus of the reporting period was for the Tribunal to meet its objective of resolving open complaints and ceasing all operations by 31 December 2020.</w:t>
      </w:r>
    </w:p>
    <w:p w14:paraId="46EBC3DF" w14:textId="77777777" w:rsidR="00291E5E" w:rsidRPr="00291E5E" w:rsidRDefault="00291E5E" w:rsidP="00B12301">
      <w:r w:rsidRPr="00291E5E">
        <w:t>All data in this report was correct at the time of reporting. Minor discrepancies between this and previous annual reports reflect the review of some data and reporting frameworks.</w:t>
      </w:r>
    </w:p>
    <w:p w14:paraId="3DC509D9" w14:textId="77777777" w:rsidR="00174C2B" w:rsidRDefault="00291E5E" w:rsidP="00B12301">
      <w:r w:rsidRPr="00291E5E">
        <w:t>Many of the charts and tables in this report use percentages. Some percentages have been rounded to the nearest whole number or single decimal place. Because of this, the sum of the percentages in a chart or table may not add up to 100%.</w:t>
      </w:r>
    </w:p>
    <w:p w14:paraId="3ED260A0" w14:textId="39EC5CC9" w:rsidR="00174C2B" w:rsidRDefault="00174C2B">
      <w:bookmarkStart w:id="4" w:name="_Hlk81839791"/>
      <w:bookmarkEnd w:id="2"/>
    </w:p>
    <w:p w14:paraId="13A115BD" w14:textId="6E0E423F" w:rsidR="00C41C5E" w:rsidRDefault="00C41C5E" w:rsidP="00174C2B">
      <w:r>
        <w:br w:type="page"/>
      </w:r>
    </w:p>
    <w:p w14:paraId="04717A9E" w14:textId="6711391B" w:rsidR="00DB3550" w:rsidRDefault="00DB3550" w:rsidP="00C41C5E">
      <w:pPr>
        <w:pStyle w:val="ARH1-Mainsectionheading"/>
      </w:pPr>
      <w:bookmarkStart w:id="5" w:name="_Toc82442764"/>
      <w:r w:rsidRPr="00291E5E">
        <w:lastRenderedPageBreak/>
        <w:t>Chairperson</w:t>
      </w:r>
      <w:r w:rsidR="0050078B">
        <w:t>’</w:t>
      </w:r>
      <w:r w:rsidRPr="00291E5E">
        <w:t>s Review</w:t>
      </w:r>
      <w:r>
        <w:t>, January – June 2021</w:t>
      </w:r>
      <w:bookmarkEnd w:id="5"/>
    </w:p>
    <w:p w14:paraId="2430B717" w14:textId="1D210093" w:rsidR="000C2EF7" w:rsidRPr="0085190B" w:rsidRDefault="0085190B" w:rsidP="00B12301">
      <w:r w:rsidRPr="0085190B">
        <w:t xml:space="preserve">While the </w:t>
      </w:r>
      <w:r w:rsidR="00005ABF">
        <w:t>Tribunal</w:t>
      </w:r>
      <w:r w:rsidRPr="0085190B">
        <w:t xml:space="preserve"> ceased operations in December 2020, following completion or transfer to AFCA of its remaining complaints, its establishing legislation the </w:t>
      </w:r>
      <w:r w:rsidRPr="005D6B49">
        <w:rPr>
          <w:i/>
          <w:iCs/>
        </w:rPr>
        <w:t>Superannuation (Resolution of Complaints) Act 1993</w:t>
      </w:r>
      <w:r w:rsidRPr="0085190B">
        <w:t xml:space="preserve"> remained in force for the entire reporting period</w:t>
      </w:r>
      <w:r>
        <w:t>. T</w:t>
      </w:r>
      <w:r w:rsidRPr="0085190B">
        <w:t xml:space="preserve">he responsible Minister made new statutory appointments under that Act following the cessation of previous appointments to the </w:t>
      </w:r>
      <w:r w:rsidR="00005ABF">
        <w:t>Tribunal</w:t>
      </w:r>
      <w:r w:rsidRPr="0085190B">
        <w:t xml:space="preserve">. The appointments were made on an acting, part time basis for no remuneration in recognition that the </w:t>
      </w:r>
      <w:r w:rsidR="00005ABF">
        <w:t>Tribunal</w:t>
      </w:r>
      <w:r w:rsidRPr="0085190B">
        <w:t xml:space="preserve"> has ceased operations.</w:t>
      </w:r>
    </w:p>
    <w:p w14:paraId="12C2FF5C" w14:textId="4E58D11E" w:rsidR="0085190B" w:rsidRPr="0085190B" w:rsidRDefault="0085190B" w:rsidP="00B12301">
      <w:r w:rsidRPr="0085190B">
        <w:t xml:space="preserve">I am the current acting Chairperson of the </w:t>
      </w:r>
      <w:r w:rsidR="00005ABF">
        <w:t>Tribunal</w:t>
      </w:r>
      <w:r w:rsidRPr="0085190B">
        <w:t>, in addition to my role as First Assistant Secretary, Department of the Treasury</w:t>
      </w:r>
      <w:r w:rsidR="0050078B">
        <w:t xml:space="preserve">. </w:t>
      </w:r>
      <w:r w:rsidRPr="0085190B">
        <w:t xml:space="preserve">The acting Deputy Chairperson is Sarah Edmondson, Senior Executive Leader, Australian Securities and Investments Commission (ASIC). Apart from statutory appointees, the </w:t>
      </w:r>
      <w:r w:rsidR="00005ABF">
        <w:t>Tribunal</w:t>
      </w:r>
      <w:r w:rsidRPr="0085190B">
        <w:t xml:space="preserve"> did not have any staff from January</w:t>
      </w:r>
      <w:r w:rsidR="0050078B">
        <w:noBreakHyphen/>
      </w:r>
      <w:r w:rsidRPr="0085190B">
        <w:t>July 2021. Robert</w:t>
      </w:r>
      <w:r w:rsidR="009B68BF">
        <w:t> </w:t>
      </w:r>
      <w:r w:rsidRPr="0085190B">
        <w:t xml:space="preserve">Jeremenko, Department of the Treasury served as Chairperson of the </w:t>
      </w:r>
      <w:r w:rsidR="00005ABF">
        <w:t>Tribunal</w:t>
      </w:r>
      <w:r w:rsidRPr="0085190B">
        <w:t xml:space="preserve"> from January to July 2021. Elizabeth Lee, ASIC served as acting Deputy Chairperson from January to February 2021.</w:t>
      </w:r>
    </w:p>
    <w:p w14:paraId="55290580" w14:textId="239E1515" w:rsidR="0085190B" w:rsidRPr="0085190B" w:rsidRDefault="0085190B" w:rsidP="00B12301">
      <w:r w:rsidRPr="0085190B">
        <w:t xml:space="preserve">Between 1 January and 30 June 2021, the </w:t>
      </w:r>
      <w:r w:rsidR="00005ABF">
        <w:t>Tribunal</w:t>
      </w:r>
      <w:r w:rsidR="00005ABF" w:rsidRPr="0085190B">
        <w:t xml:space="preserve"> </w:t>
      </w:r>
      <w:r w:rsidRPr="0085190B">
        <w:t xml:space="preserve">did not have any complaints to resolve. During that time, statutory appointees responded to requests for access to </w:t>
      </w:r>
      <w:r w:rsidR="00BE3BB7">
        <w:t>Tribunal</w:t>
      </w:r>
      <w:r w:rsidRPr="0085190B">
        <w:t xml:space="preserve"> documents from </w:t>
      </w:r>
      <w:r w:rsidR="008E15C1">
        <w:t>the Australian Financial Complains Authority (</w:t>
      </w:r>
      <w:r w:rsidRPr="0085190B">
        <w:t>AFCA</w:t>
      </w:r>
      <w:r w:rsidR="008E15C1">
        <w:t>)</w:t>
      </w:r>
      <w:r w:rsidR="0050078B">
        <w:t xml:space="preserve">. </w:t>
      </w:r>
    </w:p>
    <w:p w14:paraId="1A22D5A4" w14:textId="34D589E9" w:rsidR="0085190B" w:rsidRDefault="0085190B" w:rsidP="00B12301">
      <w:r w:rsidRPr="0085190B">
        <w:t xml:space="preserve">Amendments to the </w:t>
      </w:r>
      <w:r w:rsidRPr="005D6B49">
        <w:rPr>
          <w:i/>
          <w:iCs/>
        </w:rPr>
        <w:t>Putting Consumers First—Establishment of the Australian Financial Complaints Authority Act 2018</w:t>
      </w:r>
      <w:r w:rsidRPr="0085190B">
        <w:t xml:space="preserve"> to facilitate the closure of the </w:t>
      </w:r>
      <w:r w:rsidR="00005ABF">
        <w:t>Tribunal</w:t>
      </w:r>
      <w:r w:rsidRPr="0085190B">
        <w:t xml:space="preserve"> are currently before the Parliament. These amendments transfer </w:t>
      </w:r>
      <w:r w:rsidR="00005ABF">
        <w:t>Tribunal</w:t>
      </w:r>
      <w:r w:rsidRPr="0085190B">
        <w:t xml:space="preserve"> records to ASIC and will allow ASIC to maintain and deal with </w:t>
      </w:r>
      <w:r w:rsidR="00005ABF">
        <w:t>Tribunal</w:t>
      </w:r>
      <w:r w:rsidRPr="0085190B">
        <w:t xml:space="preserve"> records following the </w:t>
      </w:r>
      <w:r w:rsidR="00005ABF">
        <w:t>Tribunal</w:t>
      </w:r>
      <w:r w:rsidR="0050078B">
        <w:t>’</w:t>
      </w:r>
      <w:r w:rsidRPr="0085190B">
        <w:t>s closure, allow the Federal Court to remit cases to AFCA and creates a rule</w:t>
      </w:r>
      <w:r w:rsidR="0050078B">
        <w:noBreakHyphen/>
      </w:r>
      <w:r w:rsidRPr="0085190B">
        <w:t xml:space="preserve">making power for the responsible Minister to address any other transitional matters that arise. </w:t>
      </w:r>
    </w:p>
    <w:p w14:paraId="6CB8A1BB" w14:textId="6DFDF07F" w:rsidR="00005ABF" w:rsidRPr="0085190B" w:rsidRDefault="00005ABF" w:rsidP="00B12301">
      <w:bookmarkStart w:id="6" w:name="_Hlk82696873"/>
      <w:r>
        <w:t>The remainder of this report focuses on the period July – December 2020 during which the Tribunal</w:t>
      </w:r>
      <w:r w:rsidR="002440E8">
        <w:t xml:space="preserve"> was operating. </w:t>
      </w:r>
    </w:p>
    <w:bookmarkEnd w:id="6"/>
    <w:p w14:paraId="7161D3FD" w14:textId="0E5C35DD" w:rsidR="0085190B" w:rsidRPr="00522E4A" w:rsidRDefault="0085190B" w:rsidP="00B12301">
      <w:r w:rsidRPr="0085190B">
        <w:t xml:space="preserve">The costs of producing and printing this report were met by the Department of the Treasury. </w:t>
      </w:r>
    </w:p>
    <w:p w14:paraId="77A65AA9" w14:textId="676AAF3F" w:rsidR="00DB7CA5" w:rsidRPr="00522E4A" w:rsidRDefault="00DB7CA5" w:rsidP="00B12301">
      <w:r w:rsidRPr="00522E4A">
        <w:t>Lynn Kelly</w:t>
      </w:r>
    </w:p>
    <w:p w14:paraId="02D1E3E9" w14:textId="43E05ECA" w:rsidR="00DB7CA5" w:rsidRPr="00522E4A" w:rsidRDefault="0085190B" w:rsidP="00B12301">
      <w:r>
        <w:t xml:space="preserve">Acting </w:t>
      </w:r>
      <w:r w:rsidR="00DB7CA5" w:rsidRPr="00522E4A">
        <w:t>Chair</w:t>
      </w:r>
      <w:r>
        <w:t>person</w:t>
      </w:r>
    </w:p>
    <w:p w14:paraId="2578E407" w14:textId="4C24B0DA" w:rsidR="00DB7CA5" w:rsidRPr="00522E4A" w:rsidRDefault="00DB7CA5" w:rsidP="00B12301">
      <w:r w:rsidRPr="00522E4A">
        <w:t>Superannuation Complaints Tribunal</w:t>
      </w:r>
    </w:p>
    <w:bookmarkEnd w:id="4"/>
    <w:p w14:paraId="34F5DBB8" w14:textId="7BBB9C39" w:rsidR="00DB3550" w:rsidRDefault="00DB3550" w:rsidP="00B12301">
      <w:r>
        <w:br w:type="page"/>
      </w:r>
    </w:p>
    <w:p w14:paraId="5DC624C4" w14:textId="5C1599D4" w:rsidR="00291E5E" w:rsidRPr="00291E5E" w:rsidRDefault="00291E5E" w:rsidP="00D579F2">
      <w:pPr>
        <w:pStyle w:val="ARH1-Mainsectionheading"/>
        <w:rPr>
          <w:rFonts w:ascii="Arial" w:eastAsia="Times New Roman" w:hAnsi="Arial" w:cs="Arial"/>
          <w:bCs/>
          <w:iCs/>
          <w:lang w:eastAsia="en-AU"/>
        </w:rPr>
      </w:pPr>
      <w:bookmarkStart w:id="7" w:name="_Toc82442765"/>
      <w:r w:rsidRPr="00291E5E">
        <w:lastRenderedPageBreak/>
        <w:t>Chairperson</w:t>
      </w:r>
      <w:r w:rsidR="0050078B">
        <w:t>’</w:t>
      </w:r>
      <w:r w:rsidRPr="00291E5E">
        <w:t>s Review</w:t>
      </w:r>
      <w:r w:rsidR="00DB3550">
        <w:t>, July – December 2020</w:t>
      </w:r>
      <w:bookmarkEnd w:id="7"/>
    </w:p>
    <w:p w14:paraId="05519608" w14:textId="2514DE39" w:rsidR="00291E5E" w:rsidRPr="00291E5E" w:rsidRDefault="00291E5E" w:rsidP="00B12301">
      <w:r w:rsidRPr="00291E5E">
        <w:t>Following 26 years of service to the superannuation sector and the Australian community, the Tribunal ceased operations on 31 December 2020. This Annual Report marks the final six</w:t>
      </w:r>
      <w:r w:rsidR="0050078B">
        <w:t> </w:t>
      </w:r>
      <w:r w:rsidRPr="00291E5E">
        <w:t>months of operation – specifically covering 1 July 2020 to 31 December 2020.</w:t>
      </w:r>
    </w:p>
    <w:p w14:paraId="25F55EFD" w14:textId="2449C719" w:rsidR="00291E5E" w:rsidRPr="00291E5E" w:rsidRDefault="00291E5E" w:rsidP="00B12301">
      <w:r w:rsidRPr="00291E5E">
        <w:t xml:space="preserve">The Tribunal commenced the period under review with 170 remaining </w:t>
      </w:r>
      <w:r w:rsidR="0050078B">
        <w:t>‘</w:t>
      </w:r>
      <w:r w:rsidRPr="00291E5E">
        <w:t>in jurisdiction</w:t>
      </w:r>
      <w:r w:rsidR="0050078B">
        <w:t>’</w:t>
      </w:r>
      <w:r w:rsidRPr="00291E5E">
        <w:t xml:space="preserve"> complaints and by 31 December this number had been reduced to zero. </w:t>
      </w:r>
    </w:p>
    <w:p w14:paraId="2C3B8ED1" w14:textId="77777777" w:rsidR="0050078B" w:rsidRDefault="00291E5E" w:rsidP="00B12301">
      <w:r w:rsidRPr="00291E5E">
        <w:t>On 1 November 2018, the Australian Financial Complaints Authority (AFCA) commenced accepting all superannuation related complaints and in December 2020, The Australian Securities and Investments Commission (ASIC) approved an update to the AFCA Rules to provide for the transfer and handling of any remaining open complaints from the Tribunal to AFCA by 31 December 2020. Six incomplete complaints were transferred, and a further five</w:t>
      </w:r>
      <w:r w:rsidR="0050078B">
        <w:t> </w:t>
      </w:r>
      <w:r w:rsidRPr="00291E5E">
        <w:t>complaints remained on appeal to the Federal Court at the time of closure.</w:t>
      </w:r>
    </w:p>
    <w:p w14:paraId="5149DE96" w14:textId="21B3090B" w:rsidR="00291E5E" w:rsidRPr="00291E5E" w:rsidRDefault="00291E5E" w:rsidP="00B12301">
      <w:r w:rsidRPr="00291E5E">
        <w:t>The AFCA Rules changes also provided for AFCA to consider any matters that may be remitted back following appeal from the Tribunal to the Federal Court. The AFCA Rules changes did not otherwise affect the complaints AFCA had within its jurisdiction.</w:t>
      </w:r>
    </w:p>
    <w:p w14:paraId="19ECEFB2" w14:textId="77777777" w:rsidR="00291E5E" w:rsidRPr="00291E5E" w:rsidRDefault="00291E5E" w:rsidP="00B12301">
      <w:r w:rsidRPr="00291E5E">
        <w:t>At the start of the period under review, the Tribunal had 31 team members and by closure, this number had declined to six with many being redeployed to ASIC and a smaller number to AFCA.</w:t>
      </w:r>
    </w:p>
    <w:p w14:paraId="31B432EB" w14:textId="32EC7CD9" w:rsidR="00291E5E" w:rsidRPr="00291E5E" w:rsidRDefault="00291E5E" w:rsidP="00B12301">
      <w:r w:rsidRPr="00291E5E">
        <w:t>As with all workplaces – especially in Victoria – the Tribunal was heavily impacted by the working restrictions imposed by government directives in response to the COVID</w:t>
      </w:r>
      <w:r w:rsidR="0050078B">
        <w:noBreakHyphen/>
      </w:r>
      <w:r w:rsidRPr="00291E5E">
        <w:t>19 pandemic. All staff worked remotely throughout the entire reporting period.</w:t>
      </w:r>
    </w:p>
    <w:p w14:paraId="69121E23" w14:textId="77777777" w:rsidR="00291E5E" w:rsidRPr="00291E5E" w:rsidRDefault="00291E5E" w:rsidP="00B12301">
      <w:r w:rsidRPr="00291E5E">
        <w:t>I want specifically to express my thanks and admiration to every member of our team for their professionalism and dedication to their tasks notwithstanding the many challenges imposed on them. Everyone understood the difficulties and made the best of the situation. Regular (virtual) team meetings helped keep the team together and focused on the work before us.</w:t>
      </w:r>
    </w:p>
    <w:p w14:paraId="771B0A77" w14:textId="77777777" w:rsidR="00291E5E" w:rsidRPr="00291E5E" w:rsidRDefault="00291E5E" w:rsidP="00B12301">
      <w:r w:rsidRPr="00291E5E">
        <w:t>Of course, I extend my appreciation to each of our Tribunal Members (each appointed by the Minister) and thank them for their dedicated expertise and highly valued advice in formulating determinations during the period.</w:t>
      </w:r>
    </w:p>
    <w:p w14:paraId="636D6AB1" w14:textId="77777777" w:rsidR="00291E5E" w:rsidRPr="00291E5E" w:rsidRDefault="00291E5E" w:rsidP="00B12301">
      <w:r w:rsidRPr="00291E5E">
        <w:t xml:space="preserve">Importantly, I take this opportunity to thank several individuals personally. Ragini Rajadurai served the Tribunal for a period of almost 10 years as a Tribunal Member, then Deputy Chairperson and Acting Chairperson prior to my appointment. More than any other single individual, Ragini has worked tirelessly to keep the Tribunal operations running smoothly and effectively. </w:t>
      </w:r>
    </w:p>
    <w:p w14:paraId="77A3050E" w14:textId="77777777" w:rsidR="00291E5E" w:rsidRPr="00291E5E" w:rsidRDefault="00291E5E" w:rsidP="00B12301">
      <w:r w:rsidRPr="00291E5E">
        <w:t>I sincerely thank Ragini for her professionalism, sound legal, governance and managerial advice, outstanding leadership and her friendship throughout my time as Chairperson.</w:t>
      </w:r>
    </w:p>
    <w:p w14:paraId="4405D47C" w14:textId="77777777" w:rsidR="00291E5E" w:rsidRPr="00291E5E" w:rsidRDefault="00291E5E" w:rsidP="00B12301">
      <w:r w:rsidRPr="00291E5E">
        <w:t>I also wish to thank Elizabeth Lee as Tribunal Group Senior Manager. Bringing both her legal and administrative skills to the organisation, Elizabeth ensured we achieved our planned objective.</w:t>
      </w:r>
    </w:p>
    <w:p w14:paraId="2EB57031" w14:textId="77777777" w:rsidR="00291E5E" w:rsidRPr="00291E5E" w:rsidRDefault="00291E5E" w:rsidP="00B12301">
      <w:r w:rsidRPr="00291E5E">
        <w:lastRenderedPageBreak/>
        <w:t>Importantly too, I wish to thank Sandy Stogiannou in her role as Executive Assistant to both the Chairperson and Deputy Chairperson. Sandy has been a central figure in keeping momentum going within the organisation. Having been firstly with ASIC and later with the Tribunal for over 17 years, Sandy had mastered the art of diplomatic problem solving and just getting things done.</w:t>
      </w:r>
    </w:p>
    <w:p w14:paraId="019DC4CC" w14:textId="77777777" w:rsidR="00291E5E" w:rsidRPr="00291E5E" w:rsidRDefault="00291E5E" w:rsidP="00B12301">
      <w:r w:rsidRPr="00291E5E">
        <w:t>There is no doubt in my mind that the Tribunal would not have achieved all that it has accomplished so professionally and efficiently without the wonderful and professional input from our entire staff, Ragini, Elizabeth and Sandy. They can each be very proud of all they have achieved.</w:t>
      </w:r>
    </w:p>
    <w:p w14:paraId="1C93740B" w14:textId="77777777" w:rsidR="00291E5E" w:rsidRPr="00291E5E" w:rsidRDefault="00291E5E" w:rsidP="00B12301">
      <w:r w:rsidRPr="00291E5E">
        <w:t>Finally, I wish the team at AFCA every success in the very important work they are doing in the resolution of all financial service complaints from now on.</w:t>
      </w:r>
    </w:p>
    <w:p w14:paraId="5FD78ABC" w14:textId="77777777" w:rsidR="00291E5E" w:rsidRPr="00291E5E" w:rsidRDefault="00291E5E" w:rsidP="00B12301"/>
    <w:p w14:paraId="6AF2313D" w14:textId="0CCBABF6" w:rsidR="00291E5E" w:rsidRPr="00291E5E" w:rsidRDefault="00291E5E" w:rsidP="00B12301">
      <w:r w:rsidRPr="00291E5E">
        <w:t>Kind regards,</w:t>
      </w:r>
    </w:p>
    <w:p w14:paraId="6857D8B5" w14:textId="77777777" w:rsidR="00291E5E" w:rsidRPr="00291E5E" w:rsidRDefault="00291E5E" w:rsidP="00B12301">
      <w:pPr>
        <w:rPr>
          <w:lang w:val="en" w:eastAsia="en-AU"/>
        </w:rPr>
      </w:pPr>
      <w:r w:rsidRPr="00291E5E">
        <w:rPr>
          <w:noProof/>
          <w:lang w:val="en" w:eastAsia="en-AU"/>
        </w:rPr>
        <w:drawing>
          <wp:inline distT="0" distB="0" distL="0" distR="0" wp14:anchorId="4A9BD5D6" wp14:editId="78A6658E">
            <wp:extent cx="1996674" cy="589547"/>
            <wp:effectExtent l="0" t="0" r="3810" b="1270"/>
            <wp:docPr id="4" name="Picture 4" descr="John Simp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John Simpson signature"/>
                    <pic:cNvPicPr/>
                  </pic:nvPicPr>
                  <pic:blipFill>
                    <a:blip r:embed="rId19">
                      <a:extLst>
                        <a:ext uri="{28A0092B-C50C-407E-A947-70E740481C1C}">
                          <a14:useLocalDpi xmlns:a14="http://schemas.microsoft.com/office/drawing/2010/main" val="0"/>
                        </a:ext>
                      </a:extLst>
                    </a:blip>
                    <a:stretch>
                      <a:fillRect/>
                    </a:stretch>
                  </pic:blipFill>
                  <pic:spPr>
                    <a:xfrm>
                      <a:off x="0" y="0"/>
                      <a:ext cx="1996674" cy="589547"/>
                    </a:xfrm>
                    <a:prstGeom prst="rect">
                      <a:avLst/>
                    </a:prstGeom>
                  </pic:spPr>
                </pic:pic>
              </a:graphicData>
            </a:graphic>
          </wp:inline>
        </w:drawing>
      </w:r>
    </w:p>
    <w:p w14:paraId="0D219929" w14:textId="77777777" w:rsidR="00291E5E" w:rsidRPr="00291E5E" w:rsidRDefault="00291E5E" w:rsidP="00B12301">
      <w:r w:rsidRPr="00291E5E">
        <w:t>John Simpson</w:t>
      </w:r>
    </w:p>
    <w:p w14:paraId="5CFD619B" w14:textId="36A18645" w:rsidR="00291E5E" w:rsidRDefault="00291E5E" w:rsidP="00B12301">
      <w:r w:rsidRPr="00291E5E">
        <w:t>Chairperson – Superannuation Complaints Tribunal</w:t>
      </w:r>
    </w:p>
    <w:p w14:paraId="6DA8CE32" w14:textId="00FF8843" w:rsidR="00DB7CA5" w:rsidRPr="00291E5E" w:rsidRDefault="00DB7CA5" w:rsidP="00B12301">
      <w:r>
        <w:t>July – December 2020</w:t>
      </w:r>
    </w:p>
    <w:p w14:paraId="7F965B7C" w14:textId="332ADF61" w:rsidR="00F74E04" w:rsidRDefault="00F74E04" w:rsidP="00B12301">
      <w:r>
        <w:br w:type="page"/>
      </w:r>
    </w:p>
    <w:p w14:paraId="46409EA1" w14:textId="59C3B296" w:rsidR="00291E5E" w:rsidRPr="00291E5E" w:rsidRDefault="00291E5E" w:rsidP="00D579F2">
      <w:pPr>
        <w:pStyle w:val="ARH1-Mainsectionheading"/>
      </w:pPr>
      <w:bookmarkStart w:id="8" w:name="_Toc82442766"/>
      <w:r w:rsidRPr="00291E5E">
        <w:lastRenderedPageBreak/>
        <w:t>Role and functions</w:t>
      </w:r>
      <w:bookmarkEnd w:id="8"/>
    </w:p>
    <w:p w14:paraId="3812669F" w14:textId="20CF19B7" w:rsidR="00291E5E" w:rsidRPr="00291E5E" w:rsidRDefault="00291E5E" w:rsidP="00D579F2">
      <w:pPr>
        <w:pStyle w:val="ARH2-Bodycopyheadinglevel1"/>
      </w:pPr>
      <w:r w:rsidRPr="00291E5E">
        <w:t>Role</w:t>
      </w:r>
    </w:p>
    <w:p w14:paraId="34F7BD53" w14:textId="717E16F7" w:rsidR="00291E5E" w:rsidRPr="00291E5E" w:rsidRDefault="00291E5E" w:rsidP="00B12301">
      <w:r w:rsidRPr="00291E5E">
        <w:t>The Tribunal was an independent statutory dispute resolution body that dealt with superannuation</w:t>
      </w:r>
      <w:r w:rsidR="0050078B">
        <w:noBreakHyphen/>
      </w:r>
      <w:r w:rsidRPr="00291E5E">
        <w:t>related complaints received on or before 31 October 2018. It offered a free, user</w:t>
      </w:r>
      <w:r w:rsidR="0050078B">
        <w:noBreakHyphen/>
      </w:r>
      <w:r w:rsidRPr="00291E5E">
        <w:t>friendly alternative to the court system.</w:t>
      </w:r>
    </w:p>
    <w:p w14:paraId="1F26F1A5" w14:textId="77777777" w:rsidR="00291E5E" w:rsidRPr="00291E5E" w:rsidRDefault="00291E5E" w:rsidP="00B12301">
      <w:r w:rsidRPr="00291E5E">
        <w:t xml:space="preserve">The Tribunal dealt with a diverse range of complaints relating to the decisions and conduct of: </w:t>
      </w:r>
    </w:p>
    <w:p w14:paraId="34110E46" w14:textId="77777777" w:rsidR="00291E5E" w:rsidRPr="00291E5E" w:rsidRDefault="00291E5E" w:rsidP="00B12301">
      <w:pPr>
        <w:pStyle w:val="ARBulletListL1"/>
      </w:pPr>
      <w:r w:rsidRPr="00291E5E">
        <w:t xml:space="preserve">superannuation trustees </w:t>
      </w:r>
    </w:p>
    <w:p w14:paraId="0D5D6A46" w14:textId="77777777" w:rsidR="00291E5E" w:rsidRPr="00291E5E" w:rsidRDefault="00291E5E" w:rsidP="00B12301">
      <w:pPr>
        <w:pStyle w:val="ARBulletListL1"/>
      </w:pPr>
      <w:r w:rsidRPr="00291E5E">
        <w:t xml:space="preserve">insurers </w:t>
      </w:r>
    </w:p>
    <w:p w14:paraId="53C2C6E9" w14:textId="77777777" w:rsidR="00291E5E" w:rsidRPr="00291E5E" w:rsidRDefault="00291E5E" w:rsidP="00B12301">
      <w:pPr>
        <w:pStyle w:val="ARBulletListL1"/>
      </w:pPr>
      <w:r w:rsidRPr="00291E5E">
        <w:t xml:space="preserve">retirement savings account (RSA) providers </w:t>
      </w:r>
    </w:p>
    <w:p w14:paraId="7255BD6C" w14:textId="77777777" w:rsidR="00291E5E" w:rsidRPr="00291E5E" w:rsidRDefault="00291E5E" w:rsidP="00B12301">
      <w:pPr>
        <w:pStyle w:val="ARBulletListL1"/>
      </w:pPr>
      <w:r w:rsidRPr="00291E5E">
        <w:t>superannuation providers</w:t>
      </w:r>
    </w:p>
    <w:p w14:paraId="5E50BDD6" w14:textId="04644713" w:rsidR="00291E5E" w:rsidRPr="00291E5E" w:rsidRDefault="00291E5E" w:rsidP="00B12301">
      <w:pPr>
        <w:pStyle w:val="ARBulletListL1"/>
      </w:pPr>
      <w:r w:rsidRPr="00291E5E">
        <w:t>and other relevant decision</w:t>
      </w:r>
      <w:r w:rsidR="0050078B">
        <w:noBreakHyphen/>
      </w:r>
      <w:r w:rsidRPr="00291E5E">
        <w:t xml:space="preserve">makers in relation to: </w:t>
      </w:r>
    </w:p>
    <w:p w14:paraId="5A8FA045" w14:textId="77777777" w:rsidR="00291E5E" w:rsidRPr="00291E5E" w:rsidRDefault="00291E5E" w:rsidP="00B12301">
      <w:pPr>
        <w:pStyle w:val="ARBulletListL1"/>
      </w:pPr>
      <w:r w:rsidRPr="00291E5E">
        <w:t xml:space="preserve">regulated superannuation funds </w:t>
      </w:r>
    </w:p>
    <w:p w14:paraId="530455A0" w14:textId="77777777" w:rsidR="00291E5E" w:rsidRPr="00291E5E" w:rsidRDefault="00291E5E" w:rsidP="00B12301">
      <w:pPr>
        <w:pStyle w:val="ARBulletListL1"/>
      </w:pPr>
      <w:r w:rsidRPr="00291E5E">
        <w:t xml:space="preserve">approved deposit funds </w:t>
      </w:r>
    </w:p>
    <w:p w14:paraId="6855BDCE" w14:textId="77777777" w:rsidR="00291E5E" w:rsidRPr="00291E5E" w:rsidRDefault="00291E5E" w:rsidP="00B12301">
      <w:pPr>
        <w:pStyle w:val="ARBulletListL1"/>
      </w:pPr>
      <w:r w:rsidRPr="00291E5E">
        <w:t xml:space="preserve">life policy funds </w:t>
      </w:r>
    </w:p>
    <w:p w14:paraId="3C5F6A24" w14:textId="77777777" w:rsidR="00291E5E" w:rsidRPr="00291E5E" w:rsidRDefault="00291E5E" w:rsidP="00B12301">
      <w:pPr>
        <w:pStyle w:val="ARBulletListL1"/>
      </w:pPr>
      <w:r w:rsidRPr="00291E5E">
        <w:t xml:space="preserve">RSAs </w:t>
      </w:r>
    </w:p>
    <w:p w14:paraId="3377CCE8" w14:textId="77777777" w:rsidR="00291E5E" w:rsidRPr="00291E5E" w:rsidRDefault="00291E5E" w:rsidP="00B12301">
      <w:pPr>
        <w:pStyle w:val="ARBulletListL1"/>
      </w:pPr>
      <w:r w:rsidRPr="00291E5E">
        <w:t>exempt public sector superannuation schemes that have sought the jurisdiction of the Tribunal.</w:t>
      </w:r>
    </w:p>
    <w:p w14:paraId="15FCB45B" w14:textId="34FD3B66" w:rsidR="00291E5E" w:rsidRPr="00291E5E" w:rsidRDefault="00291E5E" w:rsidP="00B12301">
      <w:r w:rsidRPr="00291E5E">
        <w:t>The Tribunal did not, however, have unlimited jurisdiction to deal with all superannuation</w:t>
      </w:r>
      <w:r w:rsidR="0050078B">
        <w:noBreakHyphen/>
      </w:r>
      <w:r w:rsidRPr="00291E5E">
        <w:t>related grievances. Stringent jurisdictional and standing provisions had been built into the SRC Act.</w:t>
      </w:r>
    </w:p>
    <w:p w14:paraId="1A9FB2E5" w14:textId="64C2B55C" w:rsidR="00291E5E" w:rsidRPr="00291E5E" w:rsidRDefault="00291E5E" w:rsidP="00D579F2">
      <w:pPr>
        <w:pStyle w:val="ARH2-Bodycopyheadinglevel1"/>
      </w:pPr>
      <w:r w:rsidRPr="00291E5E">
        <w:t>Powers</w:t>
      </w:r>
    </w:p>
    <w:p w14:paraId="7B9EB8A1" w14:textId="35A4F210" w:rsidR="00291E5E" w:rsidRPr="00291E5E" w:rsidRDefault="00291E5E" w:rsidP="00B12301">
      <w:r w:rsidRPr="00291E5E">
        <w:t>The Tribunal was empowered under the SRC Act to require decision</w:t>
      </w:r>
      <w:r w:rsidR="0050078B">
        <w:noBreakHyphen/>
      </w:r>
      <w:r w:rsidRPr="00291E5E">
        <w:t>makers to provide relevant documentation and information to enable it to inquire into complaints.</w:t>
      </w:r>
    </w:p>
    <w:p w14:paraId="131DF698" w14:textId="77777777" w:rsidR="00291E5E" w:rsidRPr="00291E5E" w:rsidRDefault="00291E5E" w:rsidP="00B12301">
      <w:r w:rsidRPr="00291E5E">
        <w:t>The Tribunal also treated complaints as withdrawn if, for example, it considered the complaint to be misconceived, lacking in substance, trivial or vexatious. It could also have been withdrawn if the subject matter could be more effectively dealt with by another statutory authority or had already been dealt with by the Tribunal.</w:t>
      </w:r>
    </w:p>
    <w:p w14:paraId="7F89F3AA" w14:textId="77777777" w:rsidR="00291E5E" w:rsidRPr="00291E5E" w:rsidRDefault="00291E5E" w:rsidP="00B12301">
      <w:r w:rsidRPr="00291E5E">
        <w:t>The Tribunal could also require the parties to attend a conciliation conference to try to settle the complaint. If this was unsuccessful, and the complaint was not withdrawn, the complaint proceeded to review where the Tribunal had power to implement a range of remedies.</w:t>
      </w:r>
    </w:p>
    <w:p w14:paraId="6A55C7C7" w14:textId="77777777" w:rsidR="00291E5E" w:rsidRPr="00291E5E" w:rsidRDefault="00291E5E" w:rsidP="000E5EC2">
      <w:pPr>
        <w:keepNext/>
      </w:pPr>
      <w:r w:rsidRPr="00291E5E">
        <w:lastRenderedPageBreak/>
        <w:t xml:space="preserve">Depending on the circumstances of the complaint, the Tribunal could: </w:t>
      </w:r>
    </w:p>
    <w:p w14:paraId="77DE036B" w14:textId="77777777" w:rsidR="00291E5E" w:rsidRPr="00291E5E" w:rsidRDefault="00291E5E" w:rsidP="00B12301">
      <w:pPr>
        <w:pStyle w:val="ARBulletListL1"/>
      </w:pPr>
      <w:r w:rsidRPr="00291E5E">
        <w:t xml:space="preserve">affirm a decision </w:t>
      </w:r>
    </w:p>
    <w:p w14:paraId="1B360FD1" w14:textId="25278980" w:rsidR="00291E5E" w:rsidRPr="00291E5E" w:rsidRDefault="00291E5E" w:rsidP="00B12301">
      <w:pPr>
        <w:pStyle w:val="ARBulletListL1"/>
      </w:pPr>
      <w:r w:rsidRPr="00291E5E">
        <w:t>remit a complaint to the trustee, insurer, RSA provider or other decision</w:t>
      </w:r>
      <w:r w:rsidR="0050078B">
        <w:noBreakHyphen/>
      </w:r>
      <w:r w:rsidRPr="00291E5E">
        <w:t xml:space="preserve">maker for reconsideration of its decision in accordance with the directions of the Tribunal </w:t>
      </w:r>
    </w:p>
    <w:p w14:paraId="040986CB" w14:textId="77777777" w:rsidR="00291E5E" w:rsidRPr="00291E5E" w:rsidRDefault="00291E5E" w:rsidP="00B12301">
      <w:pPr>
        <w:pStyle w:val="ARBulletListL1"/>
      </w:pPr>
      <w:r w:rsidRPr="00291E5E">
        <w:t xml:space="preserve">vary a decision </w:t>
      </w:r>
    </w:p>
    <w:p w14:paraId="7C84C042" w14:textId="77777777" w:rsidR="00291E5E" w:rsidRPr="00291E5E" w:rsidRDefault="00291E5E" w:rsidP="00B12301">
      <w:pPr>
        <w:pStyle w:val="ARBulletListL1"/>
      </w:pPr>
      <w:r w:rsidRPr="00291E5E">
        <w:t>set aside a decision and substitute its own decision.</w:t>
      </w:r>
    </w:p>
    <w:p w14:paraId="0BD08BC1" w14:textId="77777777" w:rsidR="00291E5E" w:rsidRPr="00291E5E" w:rsidRDefault="00291E5E" w:rsidP="00B12301">
      <w:r w:rsidRPr="00291E5E">
        <w:t>If the Tribunal was satisfied that a decision in relation to a complainant operated fairly and reasonably in the circumstances, then the Tribunal affirmed that decision.</w:t>
      </w:r>
    </w:p>
    <w:p w14:paraId="5A8E349E" w14:textId="77777777" w:rsidR="00291E5E" w:rsidRPr="00291E5E" w:rsidRDefault="00291E5E" w:rsidP="00B12301">
      <w:r w:rsidRPr="00291E5E">
        <w:t xml:space="preserve">The Tribunal may have concluded that the decision or action complained of was unfair or unreasonable to the complainant. In this situation, when making its determination, the Tribunal: </w:t>
      </w:r>
    </w:p>
    <w:p w14:paraId="1C857282" w14:textId="77777777" w:rsidR="00291E5E" w:rsidRPr="00291E5E" w:rsidRDefault="00291E5E" w:rsidP="00B12301">
      <w:pPr>
        <w:pStyle w:val="ARBulletListL1"/>
      </w:pPr>
      <w:r w:rsidRPr="00291E5E">
        <w:t xml:space="preserve">must have complied with the law, the governing rules of the fund, the terms of the insurance contract or the terms and conditions of the RSA (as relevant) </w:t>
      </w:r>
    </w:p>
    <w:p w14:paraId="4686A84A" w14:textId="77777777" w:rsidR="00291E5E" w:rsidRPr="00291E5E" w:rsidRDefault="00291E5E" w:rsidP="00B12301">
      <w:pPr>
        <w:pStyle w:val="ARBulletListL1"/>
      </w:pPr>
      <w:r w:rsidRPr="00291E5E">
        <w:t>may only have exercised its powers for the purpose of placing the complainant, as nearly as practicable, in such a position that the unfairness or unreasonableness no longer existed.</w:t>
      </w:r>
    </w:p>
    <w:p w14:paraId="1FC15F76" w14:textId="256F401A" w:rsidR="00291E5E" w:rsidRPr="00291E5E" w:rsidRDefault="00291E5E" w:rsidP="00D579F2">
      <w:pPr>
        <w:pStyle w:val="ARH2-Bodycopyheadinglevel1"/>
      </w:pPr>
      <w:r w:rsidRPr="00291E5E">
        <w:t>Common complaints</w:t>
      </w:r>
    </w:p>
    <w:p w14:paraId="5878014A" w14:textId="52276E5E" w:rsidR="00291E5E" w:rsidRPr="00291E5E" w:rsidRDefault="00291E5E" w:rsidP="00B12301">
      <w:r w:rsidRPr="00291E5E">
        <w:t>The information below shows common complaints that were within jurisdiction for the Tribunal. Complaints must also have been made on or before 31 October 2018 to fall within the Tribunal</w:t>
      </w:r>
      <w:r w:rsidR="0050078B">
        <w:t>’</w:t>
      </w:r>
      <w:r w:rsidRPr="00291E5E">
        <w:t>s jurisdiction.</w:t>
      </w:r>
    </w:p>
    <w:p w14:paraId="0ED66268" w14:textId="77777777" w:rsidR="00291E5E" w:rsidRPr="00291E5E" w:rsidRDefault="00291E5E" w:rsidP="00B12301">
      <w:r w:rsidRPr="00291E5E">
        <w:t xml:space="preserve">Complaints about the decisions and conduct of: </w:t>
      </w:r>
    </w:p>
    <w:p w14:paraId="5189E02F" w14:textId="44DB10CD" w:rsidR="00291E5E" w:rsidRPr="00291E5E" w:rsidRDefault="00291E5E" w:rsidP="00B12301">
      <w:pPr>
        <w:pStyle w:val="ARBulletListL1"/>
      </w:pPr>
      <w:r w:rsidRPr="00291E5E">
        <w:t>regulated superannuation funds (other than self</w:t>
      </w:r>
      <w:r w:rsidR="0050078B">
        <w:noBreakHyphen/>
      </w:r>
      <w:r w:rsidRPr="00291E5E">
        <w:t xml:space="preserve">managed superannuation funds (SMSF)) and approved deposit funds (ADF) </w:t>
      </w:r>
    </w:p>
    <w:p w14:paraId="316A51F4" w14:textId="77777777" w:rsidR="00291E5E" w:rsidRPr="00291E5E" w:rsidRDefault="00291E5E" w:rsidP="00B12301">
      <w:pPr>
        <w:pStyle w:val="ARBulletListL1"/>
      </w:pPr>
      <w:r w:rsidRPr="00291E5E">
        <w:t xml:space="preserve">people acting on behalf of the trustee </w:t>
      </w:r>
    </w:p>
    <w:p w14:paraId="56D6C02D" w14:textId="77777777" w:rsidR="00291E5E" w:rsidRPr="00291E5E" w:rsidRDefault="00291E5E" w:rsidP="00B12301">
      <w:pPr>
        <w:pStyle w:val="ARBulletListL1"/>
      </w:pPr>
      <w:r w:rsidRPr="00291E5E">
        <w:t xml:space="preserve">insurers in relation to insurance benefits provided under superannuation funds </w:t>
      </w:r>
    </w:p>
    <w:p w14:paraId="07976394" w14:textId="77777777" w:rsidR="00291E5E" w:rsidRPr="00291E5E" w:rsidRDefault="00291E5E" w:rsidP="00B12301">
      <w:pPr>
        <w:pStyle w:val="ARBulletListL1"/>
      </w:pPr>
      <w:r w:rsidRPr="00291E5E">
        <w:t xml:space="preserve">life companies as providers of immediate and deferred annuities (annuity policies) </w:t>
      </w:r>
    </w:p>
    <w:p w14:paraId="55D3E773" w14:textId="77777777" w:rsidR="00291E5E" w:rsidRPr="00291E5E" w:rsidRDefault="00291E5E" w:rsidP="00B12301">
      <w:pPr>
        <w:pStyle w:val="ARBulletListL1"/>
      </w:pPr>
      <w:r w:rsidRPr="00291E5E">
        <w:t xml:space="preserve">people acting on behalf of the life company </w:t>
      </w:r>
    </w:p>
    <w:p w14:paraId="3D6319F1" w14:textId="77777777" w:rsidR="00291E5E" w:rsidRPr="00291E5E" w:rsidRDefault="00291E5E" w:rsidP="00B12301">
      <w:pPr>
        <w:pStyle w:val="ARBulletListL1"/>
      </w:pPr>
      <w:r w:rsidRPr="00291E5E">
        <w:t>providers of retirement savings accounts (RSA provider)</w:t>
      </w:r>
    </w:p>
    <w:p w14:paraId="1DE7135C" w14:textId="77777777" w:rsidR="00291E5E" w:rsidRPr="00291E5E" w:rsidRDefault="00291E5E" w:rsidP="00B12301">
      <w:pPr>
        <w:pStyle w:val="ARBulletListL1"/>
      </w:pPr>
      <w:r w:rsidRPr="00291E5E">
        <w:t>people acting on behalf of the RSA provider and the decisions of insurers in relation to insurance benefits where the premiums are paid from the RSA.</w:t>
      </w:r>
    </w:p>
    <w:p w14:paraId="44DE7DF9" w14:textId="77777777" w:rsidR="00291E5E" w:rsidRPr="00291E5E" w:rsidRDefault="00291E5E" w:rsidP="00B12301">
      <w:r w:rsidRPr="00291E5E">
        <w:t xml:space="preserve">Examples of complaints include: </w:t>
      </w:r>
    </w:p>
    <w:p w14:paraId="26939339" w14:textId="77777777" w:rsidR="00291E5E" w:rsidRPr="00291E5E" w:rsidRDefault="00291E5E" w:rsidP="00B12301">
      <w:pPr>
        <w:pStyle w:val="ARBulletListL1"/>
      </w:pPr>
      <w:r w:rsidRPr="00291E5E">
        <w:t xml:space="preserve">a belief that a death benefit was paid or may be paid to the wrong person or people </w:t>
      </w:r>
    </w:p>
    <w:p w14:paraId="0683BC6A" w14:textId="77777777" w:rsidR="00291E5E" w:rsidRPr="00291E5E" w:rsidRDefault="00291E5E" w:rsidP="00B12301">
      <w:pPr>
        <w:pStyle w:val="ARBulletListL1"/>
      </w:pPr>
      <w:r w:rsidRPr="00291E5E">
        <w:lastRenderedPageBreak/>
        <w:t xml:space="preserve">unreasonable delay in a payment </w:t>
      </w:r>
    </w:p>
    <w:p w14:paraId="06DFE5A9" w14:textId="77777777" w:rsidR="00291E5E" w:rsidRPr="00291E5E" w:rsidRDefault="00291E5E" w:rsidP="00B12301">
      <w:pPr>
        <w:pStyle w:val="ARBulletListL1"/>
      </w:pPr>
      <w:r w:rsidRPr="00291E5E">
        <w:t xml:space="preserve">miscalculation of a benefit, payment, or commutation </w:t>
      </w:r>
    </w:p>
    <w:p w14:paraId="567A2BE1" w14:textId="77777777" w:rsidR="00291E5E" w:rsidRPr="00291E5E" w:rsidRDefault="00291E5E" w:rsidP="00B12301">
      <w:pPr>
        <w:pStyle w:val="ARBulletListL1"/>
      </w:pPr>
      <w:r w:rsidRPr="00291E5E">
        <w:t xml:space="preserve">refusal to approve a claim for a disability benefit </w:t>
      </w:r>
    </w:p>
    <w:p w14:paraId="27F24C61" w14:textId="77777777" w:rsidR="00291E5E" w:rsidRPr="00291E5E" w:rsidRDefault="00291E5E" w:rsidP="00B12301">
      <w:pPr>
        <w:pStyle w:val="ARBulletListL1"/>
      </w:pPr>
      <w:r w:rsidRPr="00291E5E">
        <w:t xml:space="preserve">misrepresentation about the terms and conditions of a life or annuity policy </w:t>
      </w:r>
    </w:p>
    <w:p w14:paraId="1568DF76" w14:textId="77777777" w:rsidR="00291E5E" w:rsidRPr="00291E5E" w:rsidRDefault="00291E5E" w:rsidP="00B12301">
      <w:pPr>
        <w:pStyle w:val="ARBulletListL1"/>
      </w:pPr>
      <w:r w:rsidRPr="00291E5E">
        <w:t xml:space="preserve">errors in annual statements </w:t>
      </w:r>
    </w:p>
    <w:p w14:paraId="73516A83" w14:textId="77777777" w:rsidR="00291E5E" w:rsidRPr="00291E5E" w:rsidRDefault="00291E5E" w:rsidP="00B12301">
      <w:pPr>
        <w:pStyle w:val="ARBulletListL1"/>
      </w:pPr>
      <w:r w:rsidRPr="00291E5E">
        <w:t xml:space="preserve">error in information provided by a superannuation provider to the Australian Taxation Office (ATO) for the purposes of the superannuation surcharge, member contributions statements or increased contributions tax on high income earners </w:t>
      </w:r>
    </w:p>
    <w:p w14:paraId="157009B8" w14:textId="77777777" w:rsidR="00291E5E" w:rsidRPr="00291E5E" w:rsidRDefault="00291E5E" w:rsidP="00B12301">
      <w:pPr>
        <w:pStyle w:val="ARBulletListL1"/>
      </w:pPr>
      <w:r w:rsidRPr="00291E5E">
        <w:t>refusal by an insurer to approve a claim for a disability benefit where the insurance premium is paid from the RSA</w:t>
      </w:r>
    </w:p>
    <w:p w14:paraId="0631A181" w14:textId="23AC408F" w:rsidR="00291E5E" w:rsidRPr="00291E5E" w:rsidRDefault="00291E5E" w:rsidP="00B12301">
      <w:pPr>
        <w:pStyle w:val="ARBulletListL1"/>
      </w:pPr>
      <w:r w:rsidRPr="00291E5E">
        <w:t>a superannuation provider</w:t>
      </w:r>
      <w:r w:rsidR="0050078B">
        <w:t>’</w:t>
      </w:r>
      <w:r w:rsidRPr="00291E5E">
        <w:t>s conduct in administering the splitting of a superannuation payment between spouses in accordance with a binding agreement or Family Court Order under the family law legislation.</w:t>
      </w:r>
    </w:p>
    <w:p w14:paraId="390D742E" w14:textId="77777777" w:rsidR="00291E5E" w:rsidRPr="00291E5E" w:rsidRDefault="00291E5E" w:rsidP="00B12301">
      <w:r w:rsidRPr="00291E5E">
        <w:t>A complaint could have been made to the Tribunal that a decision or conduct was unfair or unreasonable in its practical outcome or consequence. While the Tribunal heard complaints about a wide range of decisions made by different superannuation entities, it had no jurisdiction to deal with the following complaints:</w:t>
      </w:r>
    </w:p>
    <w:p w14:paraId="26CFC039" w14:textId="508188D6" w:rsidR="00291E5E" w:rsidRPr="00291E5E" w:rsidRDefault="00291E5E" w:rsidP="00D579F2">
      <w:pPr>
        <w:pStyle w:val="ARH2-Bodycopyheadinglevel1"/>
      </w:pPr>
      <w:r w:rsidRPr="00291E5E">
        <w:t>Process and scope</w:t>
      </w:r>
    </w:p>
    <w:tbl>
      <w:tblPr>
        <w:tblStyle w:val="TableGrid"/>
        <w:tblW w:w="5000" w:type="pct"/>
        <w:tblLook w:val="04A0" w:firstRow="1" w:lastRow="0" w:firstColumn="1" w:lastColumn="0" w:noHBand="0" w:noVBand="1"/>
      </w:tblPr>
      <w:tblGrid>
        <w:gridCol w:w="7225"/>
        <w:gridCol w:w="1791"/>
      </w:tblGrid>
      <w:tr w:rsidR="00291E5E" w:rsidRPr="00291E5E" w14:paraId="117470FA" w14:textId="77777777" w:rsidTr="000E5EC2">
        <w:tc>
          <w:tcPr>
            <w:tcW w:w="7225" w:type="dxa"/>
          </w:tcPr>
          <w:p w14:paraId="0B0E0FDF" w14:textId="2DEF5726" w:rsidR="00291E5E" w:rsidRPr="00291E5E" w:rsidRDefault="00291E5E" w:rsidP="00B12301">
            <w:pPr>
              <w:pStyle w:val="ARTableText"/>
            </w:pPr>
            <w:r w:rsidRPr="00291E5E">
              <w:t xml:space="preserve">Where the complainant has not, before coming to the Tribunal, first lodged a complaint with the fund or RSA provider via its internal complaints resolution arrangements under s 101 of the </w:t>
            </w:r>
            <w:r w:rsidRPr="00291E5E">
              <w:rPr>
                <w:i/>
                <w:iCs/>
              </w:rPr>
              <w:t xml:space="preserve">Superannuation Industry (Supervision) Act 1993 </w:t>
            </w:r>
            <w:r w:rsidRPr="00291E5E">
              <w:t xml:space="preserve">(the SIS Act) or s 47 of the </w:t>
            </w:r>
            <w:r w:rsidRPr="00291E5E">
              <w:rPr>
                <w:i/>
                <w:iCs/>
              </w:rPr>
              <w:t xml:space="preserve">Retirement Savings Accounts Act 1997 </w:t>
            </w:r>
            <w:r w:rsidRPr="00291E5E">
              <w:t>(the RSA Act) (as relevant) or, with respect to complaints in relation to another relevant decision</w:t>
            </w:r>
            <w:r w:rsidR="0050078B">
              <w:noBreakHyphen/>
            </w:r>
            <w:r w:rsidRPr="00291E5E">
              <w:t>maker, has not made all reasonable efforts to have the complaint resolved by that decision maker – s 19 of the SRC Act.</w:t>
            </w:r>
          </w:p>
        </w:tc>
        <w:tc>
          <w:tcPr>
            <w:tcW w:w="1791" w:type="dxa"/>
          </w:tcPr>
          <w:p w14:paraId="3583843A" w14:textId="74E48465" w:rsidR="00291E5E" w:rsidRPr="00224131" w:rsidRDefault="00291E5E" w:rsidP="00B12301">
            <w:pPr>
              <w:pStyle w:val="ARTableText"/>
            </w:pPr>
            <w:r w:rsidRPr="00224131">
              <w:t>Hasn</w:t>
            </w:r>
            <w:r w:rsidR="0050078B">
              <w:t>’</w:t>
            </w:r>
            <w:r w:rsidRPr="00224131">
              <w:t>t first been dealt with by the fund</w:t>
            </w:r>
          </w:p>
        </w:tc>
      </w:tr>
      <w:tr w:rsidR="00291E5E" w:rsidRPr="00291E5E" w14:paraId="51327870" w14:textId="77777777" w:rsidTr="000E5EC2">
        <w:tc>
          <w:tcPr>
            <w:tcW w:w="7225" w:type="dxa"/>
          </w:tcPr>
          <w:p w14:paraId="3B1EDA5F" w14:textId="77777777" w:rsidR="00291E5E" w:rsidRPr="00291E5E" w:rsidRDefault="00291E5E" w:rsidP="00B12301">
            <w:pPr>
              <w:pStyle w:val="ARTableText"/>
            </w:pPr>
            <w:r w:rsidRPr="00291E5E">
              <w:t>Where the subject matter of the complaint is currently the subject of court proceedings – s 20 of the SRC Act.</w:t>
            </w:r>
          </w:p>
        </w:tc>
        <w:tc>
          <w:tcPr>
            <w:tcW w:w="1791" w:type="dxa"/>
          </w:tcPr>
          <w:p w14:paraId="29AC4727" w14:textId="77777777" w:rsidR="00291E5E" w:rsidRPr="00224131" w:rsidRDefault="00291E5E" w:rsidP="00B12301">
            <w:pPr>
              <w:pStyle w:val="ARTableText"/>
            </w:pPr>
            <w:r w:rsidRPr="00224131">
              <w:t>Before a court</w:t>
            </w:r>
          </w:p>
        </w:tc>
      </w:tr>
      <w:tr w:rsidR="00291E5E" w:rsidRPr="00291E5E" w14:paraId="354A2045" w14:textId="77777777" w:rsidTr="000E5EC2">
        <w:tc>
          <w:tcPr>
            <w:tcW w:w="7225" w:type="dxa"/>
          </w:tcPr>
          <w:p w14:paraId="18432F4A" w14:textId="77777777" w:rsidR="00291E5E" w:rsidRPr="00291E5E" w:rsidRDefault="00291E5E" w:rsidP="00B12301">
            <w:pPr>
              <w:pStyle w:val="ARTableText"/>
            </w:pPr>
            <w:r w:rsidRPr="00291E5E">
              <w:t>Where other statutory standing requirements set by the SRC Act have not been met by the complainant(s).</w:t>
            </w:r>
          </w:p>
        </w:tc>
        <w:tc>
          <w:tcPr>
            <w:tcW w:w="1791" w:type="dxa"/>
          </w:tcPr>
          <w:p w14:paraId="6479F21D" w14:textId="1ADFFA87" w:rsidR="00291E5E" w:rsidRPr="00224131" w:rsidRDefault="00291E5E" w:rsidP="00B12301">
            <w:pPr>
              <w:pStyle w:val="ARTableText"/>
            </w:pPr>
            <w:r w:rsidRPr="00224131">
              <w:t>Doesn</w:t>
            </w:r>
            <w:r w:rsidR="0050078B">
              <w:t>’</w:t>
            </w:r>
            <w:r w:rsidRPr="00224131">
              <w:t>t meet SRC Act requirements</w:t>
            </w:r>
          </w:p>
        </w:tc>
      </w:tr>
      <w:tr w:rsidR="00291E5E" w:rsidRPr="00291E5E" w14:paraId="556B1418" w14:textId="77777777" w:rsidTr="000E5EC2">
        <w:tc>
          <w:tcPr>
            <w:tcW w:w="7225" w:type="dxa"/>
          </w:tcPr>
          <w:p w14:paraId="77C4D9D2" w14:textId="5905CFE1" w:rsidR="00291E5E" w:rsidRPr="00291E5E" w:rsidRDefault="00291E5E" w:rsidP="00B12301">
            <w:pPr>
              <w:pStyle w:val="ARTableText"/>
            </w:pPr>
            <w:r w:rsidRPr="00291E5E">
              <w:t xml:space="preserve">Where it is about </w:t>
            </w:r>
            <w:r w:rsidR="0050078B">
              <w:t>‘</w:t>
            </w:r>
            <w:r w:rsidRPr="00291E5E">
              <w:t>management of the fund as a whole – ss 14(6), 15F(4) or 15J(4) of the SRC Act.</w:t>
            </w:r>
          </w:p>
        </w:tc>
        <w:tc>
          <w:tcPr>
            <w:tcW w:w="1791" w:type="dxa"/>
          </w:tcPr>
          <w:p w14:paraId="55E53690" w14:textId="77777777" w:rsidR="00291E5E" w:rsidRPr="00224131" w:rsidRDefault="00291E5E" w:rsidP="00B12301">
            <w:pPr>
              <w:pStyle w:val="ARTableText"/>
            </w:pPr>
            <w:r w:rsidRPr="00224131">
              <w:t>Not specific to the complainant</w:t>
            </w:r>
          </w:p>
        </w:tc>
      </w:tr>
    </w:tbl>
    <w:p w14:paraId="512D467B" w14:textId="77777777" w:rsidR="000E5EC2" w:rsidRDefault="000E5EC2" w:rsidP="000E5EC2">
      <w:pPr>
        <w:rPr>
          <w:color w:val="273C4E"/>
          <w:sz w:val="28"/>
          <w:szCs w:val="24"/>
        </w:rPr>
      </w:pPr>
      <w:r>
        <w:br w:type="page"/>
      </w:r>
    </w:p>
    <w:p w14:paraId="6C1ABAE7" w14:textId="595FF455" w:rsidR="00291E5E" w:rsidRPr="00291E5E" w:rsidRDefault="00291E5E" w:rsidP="00D579F2">
      <w:pPr>
        <w:pStyle w:val="ARH2-Bodycopyheadinglevel1"/>
      </w:pPr>
      <w:r w:rsidRPr="00291E5E">
        <w:lastRenderedPageBreak/>
        <w:t>Entity/product type</w:t>
      </w:r>
    </w:p>
    <w:tbl>
      <w:tblPr>
        <w:tblStyle w:val="TableGrid"/>
        <w:tblW w:w="5000" w:type="pct"/>
        <w:tblLook w:val="04A0" w:firstRow="1" w:lastRow="0" w:firstColumn="1" w:lastColumn="0" w:noHBand="0" w:noVBand="1"/>
      </w:tblPr>
      <w:tblGrid>
        <w:gridCol w:w="7083"/>
        <w:gridCol w:w="1933"/>
      </w:tblGrid>
      <w:tr w:rsidR="00291E5E" w:rsidRPr="00291E5E" w14:paraId="32424CEF" w14:textId="77777777" w:rsidTr="000E5EC2">
        <w:tc>
          <w:tcPr>
            <w:tcW w:w="7083" w:type="dxa"/>
          </w:tcPr>
          <w:p w14:paraId="588125DB" w14:textId="5B1842BD" w:rsidR="00291E5E" w:rsidRPr="00291E5E" w:rsidRDefault="00291E5E" w:rsidP="00B12301">
            <w:pPr>
              <w:pStyle w:val="ARTableText"/>
            </w:pPr>
            <w:r w:rsidRPr="00291E5E">
              <w:t>Are related to self</w:t>
            </w:r>
            <w:r w:rsidR="0050078B">
              <w:noBreakHyphen/>
            </w:r>
            <w:r w:rsidRPr="00291E5E">
              <w:t>managed superannuation funds (SMSFs). SMSFs are regulated by the Australian Taxation Office (ATO) – s 5 of the SRC Act.</w:t>
            </w:r>
          </w:p>
        </w:tc>
        <w:tc>
          <w:tcPr>
            <w:tcW w:w="1933" w:type="dxa"/>
          </w:tcPr>
          <w:p w14:paraId="6D9618CC" w14:textId="77777777" w:rsidR="00291E5E" w:rsidRPr="00224131" w:rsidRDefault="00291E5E" w:rsidP="00B12301">
            <w:pPr>
              <w:pStyle w:val="ARTableText"/>
            </w:pPr>
            <w:r w:rsidRPr="00224131">
              <w:t>Relates to SMSFs</w:t>
            </w:r>
          </w:p>
        </w:tc>
      </w:tr>
      <w:tr w:rsidR="00291E5E" w:rsidRPr="00291E5E" w14:paraId="6B72FA0A" w14:textId="77777777" w:rsidTr="000E5EC2">
        <w:tc>
          <w:tcPr>
            <w:tcW w:w="7083" w:type="dxa"/>
          </w:tcPr>
          <w:p w14:paraId="348E4C5C" w14:textId="3F011554" w:rsidR="00291E5E" w:rsidRPr="00291E5E" w:rsidRDefault="00291E5E" w:rsidP="00B12301">
            <w:pPr>
              <w:pStyle w:val="ARTableText"/>
            </w:pPr>
            <w:r w:rsidRPr="00291E5E">
              <w:t xml:space="preserve">Are related to exempt public sector superannuation schemes which are not taken to be </w:t>
            </w:r>
            <w:r w:rsidR="0050078B">
              <w:t>‘</w:t>
            </w:r>
            <w:r w:rsidRPr="00291E5E">
              <w:t>regulated</w:t>
            </w:r>
            <w:r w:rsidR="0050078B">
              <w:t>’</w:t>
            </w:r>
            <w:r w:rsidRPr="00291E5E">
              <w:t xml:space="preserve"> by s 4A of the SRC Act, or before being taken to be regulated, or in relation to which a State or Territory law has not expressly conferred functions on the Tribunal for s 12(2) of the SRC Act.</w:t>
            </w:r>
          </w:p>
        </w:tc>
        <w:tc>
          <w:tcPr>
            <w:tcW w:w="1933" w:type="dxa"/>
          </w:tcPr>
          <w:p w14:paraId="52142F9A" w14:textId="77777777" w:rsidR="00291E5E" w:rsidRPr="00224131" w:rsidRDefault="00291E5E" w:rsidP="00B12301">
            <w:pPr>
              <w:pStyle w:val="ARTableText"/>
            </w:pPr>
            <w:r w:rsidRPr="00224131">
              <w:t>Relates to some unregulated public sector schemes</w:t>
            </w:r>
          </w:p>
        </w:tc>
      </w:tr>
      <w:tr w:rsidR="00291E5E" w:rsidRPr="00291E5E" w14:paraId="30E01547" w14:textId="77777777" w:rsidTr="000E5EC2">
        <w:tc>
          <w:tcPr>
            <w:tcW w:w="7083" w:type="dxa"/>
          </w:tcPr>
          <w:p w14:paraId="34EF3C55" w14:textId="77777777" w:rsidR="00291E5E" w:rsidRPr="00291E5E" w:rsidRDefault="00291E5E" w:rsidP="00B12301">
            <w:pPr>
              <w:pStyle w:val="ARTableText"/>
            </w:pPr>
            <w:r w:rsidRPr="00291E5E">
              <w:t>Are about financial advisers who are not acting as agents of a superannuation provider.</w:t>
            </w:r>
          </w:p>
        </w:tc>
        <w:tc>
          <w:tcPr>
            <w:tcW w:w="1933" w:type="dxa"/>
          </w:tcPr>
          <w:p w14:paraId="58EA5588" w14:textId="77777777" w:rsidR="00291E5E" w:rsidRPr="00224131" w:rsidRDefault="00291E5E" w:rsidP="00B12301">
            <w:pPr>
              <w:pStyle w:val="ARTableText"/>
            </w:pPr>
            <w:r w:rsidRPr="00224131">
              <w:t>Relates to financial advisers</w:t>
            </w:r>
          </w:p>
        </w:tc>
      </w:tr>
      <w:tr w:rsidR="00291E5E" w:rsidRPr="00291E5E" w14:paraId="69D2DDF9" w14:textId="77777777" w:rsidTr="000E5EC2">
        <w:tc>
          <w:tcPr>
            <w:tcW w:w="7083" w:type="dxa"/>
          </w:tcPr>
          <w:p w14:paraId="1F9D1A97" w14:textId="433D4458" w:rsidR="00291E5E" w:rsidRPr="00291E5E" w:rsidRDefault="00291E5E" w:rsidP="00B12301">
            <w:pPr>
              <w:pStyle w:val="ARTableText"/>
            </w:pPr>
            <w:r w:rsidRPr="00291E5E">
              <w:t>Are about decisions made by decision</w:t>
            </w:r>
            <w:r w:rsidR="0050078B">
              <w:noBreakHyphen/>
            </w:r>
            <w:r w:rsidRPr="00291E5E">
              <w:t>makers who are not specifically caught by the SRC Act (for example, employers).</w:t>
            </w:r>
          </w:p>
        </w:tc>
        <w:tc>
          <w:tcPr>
            <w:tcW w:w="1933" w:type="dxa"/>
          </w:tcPr>
          <w:p w14:paraId="6911C581" w14:textId="77777777" w:rsidR="00291E5E" w:rsidRPr="00224131" w:rsidRDefault="00291E5E" w:rsidP="00B12301">
            <w:pPr>
              <w:pStyle w:val="ARTableText"/>
            </w:pPr>
            <w:r w:rsidRPr="00224131">
              <w:t>Relates to those not in the SRC Act</w:t>
            </w:r>
          </w:p>
        </w:tc>
      </w:tr>
    </w:tbl>
    <w:p w14:paraId="16401108" w14:textId="28F854D9" w:rsidR="00291E5E" w:rsidRPr="00E8733D" w:rsidRDefault="00291E5E" w:rsidP="00D579F2">
      <w:pPr>
        <w:pStyle w:val="ARH2-Bodycopyheadinglevel1"/>
      </w:pPr>
      <w:r w:rsidRPr="00E8733D">
        <w:t>Expired benefit</w:t>
      </w:r>
    </w:p>
    <w:tbl>
      <w:tblPr>
        <w:tblStyle w:val="TableGrid"/>
        <w:tblW w:w="5000" w:type="pct"/>
        <w:tblLook w:val="04A0" w:firstRow="1" w:lastRow="0" w:firstColumn="1" w:lastColumn="0" w:noHBand="0" w:noVBand="1"/>
      </w:tblPr>
      <w:tblGrid>
        <w:gridCol w:w="7083"/>
        <w:gridCol w:w="1933"/>
      </w:tblGrid>
      <w:tr w:rsidR="00291E5E" w:rsidRPr="00291E5E" w14:paraId="5BF934D9" w14:textId="77777777" w:rsidTr="000E5EC2">
        <w:tc>
          <w:tcPr>
            <w:tcW w:w="7083" w:type="dxa"/>
          </w:tcPr>
          <w:p w14:paraId="32DA2C09" w14:textId="05A52C11" w:rsidR="00291E5E" w:rsidRPr="00291E5E" w:rsidRDefault="00291E5E" w:rsidP="00B12301">
            <w:pPr>
              <w:pStyle w:val="ARTableText"/>
            </w:pPr>
            <w:r w:rsidRPr="00291E5E">
              <w:t>Total and permanent disability (TPD) complaints not made within the time limits set in ss 14(6A)</w:t>
            </w:r>
            <w:r w:rsidR="0050078B">
              <w:noBreakHyphen/>
            </w:r>
            <w:r w:rsidRPr="00291E5E">
              <w:t>(6D), 15F(5)</w:t>
            </w:r>
            <w:r w:rsidR="0050078B">
              <w:noBreakHyphen/>
            </w:r>
            <w:r w:rsidRPr="00291E5E">
              <w:t>(8) or 15J(F)</w:t>
            </w:r>
            <w:r w:rsidR="0050078B">
              <w:noBreakHyphen/>
            </w:r>
            <w:r w:rsidRPr="00291E5E">
              <w:t>(8) of the SRC Act.</w:t>
            </w:r>
          </w:p>
        </w:tc>
        <w:tc>
          <w:tcPr>
            <w:tcW w:w="1933" w:type="dxa"/>
          </w:tcPr>
          <w:p w14:paraId="76D81DB9" w14:textId="77777777" w:rsidR="00291E5E" w:rsidRPr="00224131" w:rsidRDefault="00291E5E" w:rsidP="00B12301">
            <w:pPr>
              <w:pStyle w:val="ARTableText"/>
            </w:pPr>
            <w:r w:rsidRPr="00224131">
              <w:t>Time limit expired</w:t>
            </w:r>
          </w:p>
        </w:tc>
      </w:tr>
      <w:tr w:rsidR="00291E5E" w:rsidRPr="00291E5E" w14:paraId="0E10AEBD" w14:textId="77777777" w:rsidTr="000E5EC2">
        <w:tc>
          <w:tcPr>
            <w:tcW w:w="7083" w:type="dxa"/>
          </w:tcPr>
          <w:p w14:paraId="026D3F61" w14:textId="6D720EDF" w:rsidR="00291E5E" w:rsidRPr="00291E5E" w:rsidRDefault="00291E5E" w:rsidP="00B12301">
            <w:pPr>
              <w:pStyle w:val="ARTableText"/>
            </w:pPr>
            <w:r w:rsidRPr="00291E5E">
              <w:t xml:space="preserve">In relation to the payment of death benefits made by persons who do not have an </w:t>
            </w:r>
            <w:r w:rsidR="0050078B">
              <w:t>‘</w:t>
            </w:r>
            <w:r w:rsidRPr="00291E5E">
              <w:t>interest in the benefit</w:t>
            </w:r>
            <w:r w:rsidR="0050078B">
              <w:t>’</w:t>
            </w:r>
            <w:r w:rsidRPr="00291E5E">
              <w:t xml:space="preserve"> or not made by such a person within the prescribed time limit – ss 14(4) and 15(2), 15B(3) and 15F(3) and 15G(2), or 15J(3) and 15K(2) of the SRC Act.</w:t>
            </w:r>
          </w:p>
        </w:tc>
        <w:tc>
          <w:tcPr>
            <w:tcW w:w="1933" w:type="dxa"/>
          </w:tcPr>
          <w:p w14:paraId="342517D9" w14:textId="77777777" w:rsidR="00291E5E" w:rsidRPr="00224131" w:rsidRDefault="00291E5E" w:rsidP="00B12301">
            <w:pPr>
              <w:pStyle w:val="ARTableText"/>
            </w:pPr>
            <w:r w:rsidRPr="00224131">
              <w:t>No interest or time limits have expired</w:t>
            </w:r>
          </w:p>
        </w:tc>
      </w:tr>
    </w:tbl>
    <w:p w14:paraId="3CA8652E" w14:textId="147B9ED4" w:rsidR="00291E5E" w:rsidRPr="00291E5E" w:rsidRDefault="00291E5E" w:rsidP="00D579F2">
      <w:pPr>
        <w:pStyle w:val="ARH2-Bodycopyheadinglevel1"/>
      </w:pPr>
      <w:r w:rsidRPr="00291E5E">
        <w:t>Other</w:t>
      </w:r>
    </w:p>
    <w:tbl>
      <w:tblPr>
        <w:tblStyle w:val="TableGrid"/>
        <w:tblW w:w="5000" w:type="pct"/>
        <w:tblLook w:val="04A0" w:firstRow="1" w:lastRow="0" w:firstColumn="1" w:lastColumn="0" w:noHBand="0" w:noVBand="1"/>
      </w:tblPr>
      <w:tblGrid>
        <w:gridCol w:w="7083"/>
        <w:gridCol w:w="1933"/>
      </w:tblGrid>
      <w:tr w:rsidR="00291E5E" w:rsidRPr="00291E5E" w14:paraId="32AA472E" w14:textId="77777777" w:rsidTr="000E5EC2">
        <w:tc>
          <w:tcPr>
            <w:tcW w:w="7083" w:type="dxa"/>
          </w:tcPr>
          <w:p w14:paraId="233E7ACB" w14:textId="77777777" w:rsidR="00291E5E" w:rsidRPr="00291E5E" w:rsidRDefault="00291E5E" w:rsidP="00B12301">
            <w:pPr>
              <w:pStyle w:val="ARTableText"/>
            </w:pPr>
            <w:r w:rsidRPr="00291E5E">
              <w:t xml:space="preserve">Are about decisions of trustees of regulated superannuation funds and approved deposit funds made before the fund was regulated. (See the judgement of Merkel J in </w:t>
            </w:r>
            <w:r w:rsidRPr="00291E5E">
              <w:rPr>
                <w:i/>
                <w:iCs/>
              </w:rPr>
              <w:t xml:space="preserve">Briffa &amp; Ors v Hay </w:t>
            </w:r>
            <w:r w:rsidRPr="00291E5E">
              <w:t>(1997) 147 ALR 226).</w:t>
            </w:r>
          </w:p>
        </w:tc>
        <w:tc>
          <w:tcPr>
            <w:tcW w:w="1933" w:type="dxa"/>
          </w:tcPr>
          <w:p w14:paraId="2EF9727F" w14:textId="77777777" w:rsidR="00291E5E" w:rsidRPr="00224131" w:rsidRDefault="00291E5E" w:rsidP="00B12301">
            <w:pPr>
              <w:pStyle w:val="ARTableText"/>
            </w:pPr>
            <w:r w:rsidRPr="00224131">
              <w:t>Decisions made before the fund was regulated</w:t>
            </w:r>
          </w:p>
        </w:tc>
      </w:tr>
      <w:tr w:rsidR="00291E5E" w:rsidRPr="00291E5E" w14:paraId="62D5FA81" w14:textId="77777777" w:rsidTr="000E5EC2">
        <w:tc>
          <w:tcPr>
            <w:tcW w:w="7083" w:type="dxa"/>
          </w:tcPr>
          <w:p w14:paraId="49798FC5" w14:textId="37F052B5" w:rsidR="00291E5E" w:rsidRPr="00291E5E" w:rsidRDefault="00291E5E" w:rsidP="00B12301">
            <w:pPr>
              <w:pStyle w:val="ARTableText"/>
            </w:pPr>
            <w:r w:rsidRPr="00291E5E">
              <w:t xml:space="preserve">Are </w:t>
            </w:r>
            <w:r w:rsidR="0050078B">
              <w:t>‘</w:t>
            </w:r>
            <w:r w:rsidRPr="00291E5E">
              <w:t>excluded complaints</w:t>
            </w:r>
            <w:r w:rsidR="0050078B">
              <w:t>’</w:t>
            </w:r>
            <w:r w:rsidRPr="00291E5E">
              <w:t xml:space="preserve"> concerning </w:t>
            </w:r>
            <w:r w:rsidR="0050078B">
              <w:t>‘</w:t>
            </w:r>
            <w:r w:rsidRPr="00291E5E">
              <w:t>excluded subject matter</w:t>
            </w:r>
            <w:r w:rsidR="0050078B">
              <w:t>’</w:t>
            </w:r>
            <w:r w:rsidRPr="00291E5E">
              <w:t xml:space="preserve"> as declared in the </w:t>
            </w:r>
            <w:r w:rsidRPr="00291E5E">
              <w:rPr>
                <w:i/>
                <w:iCs/>
              </w:rPr>
              <w:t>Superannuation Resolution of Complaints Regulations 2018</w:t>
            </w:r>
            <w:r w:rsidRPr="00291E5E">
              <w:t xml:space="preserve">. (No complaints or subjects have been declared as excluded as at 30 June 2020). </w:t>
            </w:r>
          </w:p>
        </w:tc>
        <w:tc>
          <w:tcPr>
            <w:tcW w:w="1933" w:type="dxa"/>
          </w:tcPr>
          <w:p w14:paraId="578D4D29" w14:textId="77777777" w:rsidR="00291E5E" w:rsidRPr="00224131" w:rsidRDefault="00291E5E" w:rsidP="00B12301">
            <w:pPr>
              <w:pStyle w:val="ARTableText"/>
            </w:pPr>
            <w:r w:rsidRPr="00224131">
              <w:t>Excluded complaints</w:t>
            </w:r>
          </w:p>
        </w:tc>
      </w:tr>
      <w:tr w:rsidR="00291E5E" w:rsidRPr="00291E5E" w14:paraId="67E189C6" w14:textId="77777777" w:rsidTr="000E5EC2">
        <w:tc>
          <w:tcPr>
            <w:tcW w:w="7083" w:type="dxa"/>
          </w:tcPr>
          <w:p w14:paraId="45F8142F" w14:textId="77777777" w:rsidR="00291E5E" w:rsidRPr="00291E5E" w:rsidRDefault="00291E5E" w:rsidP="00B12301">
            <w:pPr>
              <w:pStyle w:val="ARTableText"/>
            </w:pPr>
            <w:r w:rsidRPr="00291E5E">
              <w:t>Are made on or after 1 November 2018.</w:t>
            </w:r>
          </w:p>
        </w:tc>
        <w:tc>
          <w:tcPr>
            <w:tcW w:w="1933" w:type="dxa"/>
          </w:tcPr>
          <w:p w14:paraId="592B2970" w14:textId="77777777" w:rsidR="00291E5E" w:rsidRPr="00224131" w:rsidRDefault="00291E5E" w:rsidP="00B12301">
            <w:pPr>
              <w:pStyle w:val="ARTableText"/>
            </w:pPr>
            <w:r w:rsidRPr="00224131">
              <w:t>Complaint must be made to AFCA</w:t>
            </w:r>
          </w:p>
        </w:tc>
      </w:tr>
    </w:tbl>
    <w:p w14:paraId="13F00998" w14:textId="499BA064" w:rsidR="00291E5E" w:rsidRPr="00291E5E" w:rsidRDefault="00291E5E" w:rsidP="00D579F2">
      <w:pPr>
        <w:pStyle w:val="ARH2-Bodycopyheadinglevel1"/>
      </w:pPr>
      <w:r w:rsidRPr="00291E5E">
        <w:t xml:space="preserve">SRC Act </w:t>
      </w:r>
      <w:r w:rsidRPr="00E8733D">
        <w:t>amendments</w:t>
      </w:r>
    </w:p>
    <w:p w14:paraId="5E5AA763" w14:textId="77777777" w:rsidR="00E8733D" w:rsidRDefault="00291E5E" w:rsidP="00B12301">
      <w:r w:rsidRPr="00291E5E">
        <w:t>The SRC Act and SRC Regulations were not amended during the reporting period.</w:t>
      </w:r>
    </w:p>
    <w:p w14:paraId="503481FB" w14:textId="66E5AA12" w:rsidR="00291E5E" w:rsidRPr="00D579F2" w:rsidRDefault="00291E5E" w:rsidP="00D579F2">
      <w:pPr>
        <w:pStyle w:val="ARH3-Bodycopyheadinglevel1"/>
      </w:pPr>
      <w:r w:rsidRPr="00D579F2">
        <w:t>Delegation</w:t>
      </w:r>
    </w:p>
    <w:p w14:paraId="096B6842" w14:textId="6D21782A" w:rsidR="00291E5E" w:rsidRPr="00291E5E" w:rsidRDefault="00291E5E" w:rsidP="00B12301">
      <w:r w:rsidRPr="00291E5E">
        <w:t>Under s 59(1) of the SRC Act, the Tribunal</w:t>
      </w:r>
      <w:r w:rsidR="0050078B">
        <w:t>’</w:t>
      </w:r>
      <w:r w:rsidRPr="00291E5E">
        <w:t xml:space="preserve">s inquiry and conciliation functions were exercisable on behalf of the Tribunal by the Chairperson, Deputy Chairperson and/or by members of the Tribunal staff who had been so authorised by the Chairperson. </w:t>
      </w:r>
    </w:p>
    <w:p w14:paraId="14DFA211" w14:textId="0BDB2EB2" w:rsidR="00291E5E" w:rsidRPr="00291E5E" w:rsidRDefault="00291E5E" w:rsidP="00B12301">
      <w:r w:rsidRPr="00291E5E">
        <w:t>The Tribunal</w:t>
      </w:r>
      <w:r w:rsidR="0050078B">
        <w:t>’</w:t>
      </w:r>
      <w:r w:rsidRPr="00291E5E">
        <w:t>s review powers rested directly in the Tribunal itself as constituted for review and may not be delegated.</w:t>
      </w:r>
      <w:r w:rsidRPr="00291E5E">
        <w:br w:type="page"/>
      </w:r>
    </w:p>
    <w:p w14:paraId="6259268A" w14:textId="5178A006" w:rsidR="00291E5E" w:rsidRPr="00291E5E" w:rsidRDefault="00291E5E" w:rsidP="00D317FD">
      <w:pPr>
        <w:pStyle w:val="ARH1-Mainsectionheading"/>
        <w:tabs>
          <w:tab w:val="left" w:pos="6660"/>
        </w:tabs>
      </w:pPr>
      <w:bookmarkStart w:id="9" w:name="_Toc82442767"/>
      <w:r w:rsidRPr="00291E5E">
        <w:lastRenderedPageBreak/>
        <w:t>Organisation and structure</w:t>
      </w:r>
      <w:bookmarkEnd w:id="9"/>
      <w:r w:rsidR="00D317FD">
        <w:tab/>
      </w:r>
    </w:p>
    <w:p w14:paraId="53A22130" w14:textId="6F5AB450" w:rsidR="00291E5E" w:rsidRPr="00291E5E" w:rsidRDefault="00291E5E" w:rsidP="00D579F2">
      <w:pPr>
        <w:pStyle w:val="ARH2-Bodycopyheadinglevel1"/>
      </w:pPr>
      <w:r w:rsidRPr="00291E5E">
        <w:t>Organisational chart as at 31 December 2020</w:t>
      </w:r>
    </w:p>
    <w:p w14:paraId="53E64C84" w14:textId="77777777" w:rsidR="00291E5E" w:rsidRPr="00291E5E" w:rsidRDefault="00291E5E" w:rsidP="00B12301">
      <w:r w:rsidRPr="00291E5E">
        <w:rPr>
          <w:noProof/>
        </w:rPr>
        <w:drawing>
          <wp:inline distT="0" distB="0" distL="0" distR="0" wp14:anchorId="2F7EF27C" wp14:editId="303C5354">
            <wp:extent cx="3596400" cy="2797200"/>
            <wp:effectExtent l="0" t="0" r="4445" b="3175"/>
            <wp:docPr id="1" name="Picture 1" descr="Graphic showing the organisational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 showing the organisational structur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596400" cy="2797200"/>
                    </a:xfrm>
                    <a:prstGeom prst="rect">
                      <a:avLst/>
                    </a:prstGeom>
                    <a:noFill/>
                  </pic:spPr>
                </pic:pic>
              </a:graphicData>
            </a:graphic>
          </wp:inline>
        </w:drawing>
      </w:r>
    </w:p>
    <w:p w14:paraId="4512541F" w14:textId="61563DC7" w:rsidR="00291E5E" w:rsidRPr="00291E5E" w:rsidRDefault="00291E5E" w:rsidP="00D579F2">
      <w:pPr>
        <w:pStyle w:val="ARH2-Bodycopyheadinglevel1"/>
      </w:pPr>
      <w:r w:rsidRPr="00291E5E">
        <w:t>Staff numbers as at 31 December 2021</w:t>
      </w:r>
    </w:p>
    <w:p w14:paraId="783233AD" w14:textId="77777777" w:rsidR="00291E5E" w:rsidRPr="00291E5E" w:rsidRDefault="00291E5E" w:rsidP="00B12301">
      <w:pPr>
        <w:rPr>
          <w:b/>
        </w:rPr>
      </w:pPr>
      <w:bookmarkStart w:id="10" w:name="_Hlk45888554"/>
      <w:r w:rsidRPr="00291E5E">
        <w:t>Budget for employee expenses in 2020–21 was $1,380,875 (not including Tribunal Members sitting fees).</w:t>
      </w:r>
    </w:p>
    <w:tbl>
      <w:tblPr>
        <w:tblStyle w:val="TableGrid"/>
        <w:tblW w:w="5000" w:type="pct"/>
        <w:tblLook w:val="04A0" w:firstRow="1" w:lastRow="0" w:firstColumn="1" w:lastColumn="0" w:noHBand="0" w:noVBand="1"/>
      </w:tblPr>
      <w:tblGrid>
        <w:gridCol w:w="1016"/>
        <w:gridCol w:w="1600"/>
        <w:gridCol w:w="1600"/>
        <w:gridCol w:w="1600"/>
        <w:gridCol w:w="1600"/>
        <w:gridCol w:w="1600"/>
      </w:tblGrid>
      <w:tr w:rsidR="00291E5E" w:rsidRPr="00291E5E" w14:paraId="3A84AD49" w14:textId="77777777" w:rsidTr="000E5EC2">
        <w:tc>
          <w:tcPr>
            <w:tcW w:w="763" w:type="dxa"/>
            <w:vMerge w:val="restart"/>
          </w:tcPr>
          <w:p w14:paraId="39330256" w14:textId="77777777" w:rsidR="00291E5E" w:rsidRPr="00224131" w:rsidRDefault="00291E5E" w:rsidP="00B12301">
            <w:pPr>
              <w:pStyle w:val="ARTableText"/>
            </w:pPr>
            <w:r w:rsidRPr="00224131">
              <w:t>2021</w:t>
            </w:r>
          </w:p>
        </w:tc>
        <w:tc>
          <w:tcPr>
            <w:tcW w:w="1203" w:type="dxa"/>
          </w:tcPr>
          <w:p w14:paraId="74ED69D1" w14:textId="77777777" w:rsidR="00291E5E" w:rsidRPr="00291E5E" w:rsidRDefault="00291E5E" w:rsidP="00B12301">
            <w:pPr>
              <w:pStyle w:val="ARTableText"/>
            </w:pPr>
            <w:r w:rsidRPr="00291E5E">
              <w:t>6</w:t>
            </w:r>
          </w:p>
        </w:tc>
        <w:tc>
          <w:tcPr>
            <w:tcW w:w="1203" w:type="dxa"/>
          </w:tcPr>
          <w:p w14:paraId="53016931" w14:textId="77777777" w:rsidR="00291E5E" w:rsidRPr="00291E5E" w:rsidRDefault="00291E5E" w:rsidP="00B12301">
            <w:pPr>
              <w:pStyle w:val="ARTableText"/>
            </w:pPr>
            <w:r w:rsidRPr="00291E5E">
              <w:t>3</w:t>
            </w:r>
          </w:p>
        </w:tc>
        <w:tc>
          <w:tcPr>
            <w:tcW w:w="1203" w:type="dxa"/>
          </w:tcPr>
          <w:p w14:paraId="782D56C9" w14:textId="77777777" w:rsidR="00291E5E" w:rsidRPr="00291E5E" w:rsidRDefault="00291E5E" w:rsidP="00B12301">
            <w:pPr>
              <w:pStyle w:val="ARTableText"/>
            </w:pPr>
            <w:r w:rsidRPr="00291E5E">
              <w:t>3</w:t>
            </w:r>
          </w:p>
        </w:tc>
        <w:tc>
          <w:tcPr>
            <w:tcW w:w="1203" w:type="dxa"/>
          </w:tcPr>
          <w:p w14:paraId="7E6762FD" w14:textId="77777777" w:rsidR="00291E5E" w:rsidRPr="00291E5E" w:rsidRDefault="00291E5E" w:rsidP="00B12301">
            <w:pPr>
              <w:pStyle w:val="ARTableText"/>
            </w:pPr>
            <w:r w:rsidRPr="00291E5E">
              <w:t>0</w:t>
            </w:r>
          </w:p>
        </w:tc>
        <w:tc>
          <w:tcPr>
            <w:tcW w:w="1203" w:type="dxa"/>
          </w:tcPr>
          <w:p w14:paraId="5F4D7B6B" w14:textId="77777777" w:rsidR="00291E5E" w:rsidRPr="00291E5E" w:rsidRDefault="00291E5E" w:rsidP="00B12301">
            <w:pPr>
              <w:pStyle w:val="ARTableText"/>
            </w:pPr>
            <w:r w:rsidRPr="00291E5E">
              <w:t>6</w:t>
            </w:r>
          </w:p>
        </w:tc>
      </w:tr>
      <w:tr w:rsidR="00291E5E" w:rsidRPr="00291E5E" w14:paraId="659648ED" w14:textId="77777777" w:rsidTr="000E5EC2">
        <w:tc>
          <w:tcPr>
            <w:tcW w:w="763" w:type="dxa"/>
            <w:vMerge/>
          </w:tcPr>
          <w:p w14:paraId="0EF89533" w14:textId="77777777" w:rsidR="00291E5E" w:rsidRPr="00291E5E" w:rsidRDefault="00291E5E" w:rsidP="00B12301">
            <w:pPr>
              <w:pStyle w:val="ARTableText"/>
            </w:pPr>
          </w:p>
        </w:tc>
        <w:tc>
          <w:tcPr>
            <w:tcW w:w="1203" w:type="dxa"/>
          </w:tcPr>
          <w:p w14:paraId="71808A89" w14:textId="77777777" w:rsidR="00291E5E" w:rsidRPr="00224131" w:rsidRDefault="00291E5E" w:rsidP="00B12301">
            <w:pPr>
              <w:pStyle w:val="ARTableText"/>
            </w:pPr>
            <w:r w:rsidRPr="00224131">
              <w:t>Team member numbers</w:t>
            </w:r>
          </w:p>
        </w:tc>
        <w:tc>
          <w:tcPr>
            <w:tcW w:w="1203" w:type="dxa"/>
          </w:tcPr>
          <w:p w14:paraId="6B4F8EC5" w14:textId="77777777" w:rsidR="00291E5E" w:rsidRPr="00224131" w:rsidRDefault="00291E5E" w:rsidP="00B12301">
            <w:pPr>
              <w:pStyle w:val="ARTableText"/>
            </w:pPr>
            <w:r w:rsidRPr="00224131">
              <w:t>Female</w:t>
            </w:r>
          </w:p>
        </w:tc>
        <w:tc>
          <w:tcPr>
            <w:tcW w:w="1203" w:type="dxa"/>
          </w:tcPr>
          <w:p w14:paraId="66251612" w14:textId="77777777" w:rsidR="00291E5E" w:rsidRPr="00224131" w:rsidRDefault="00291E5E" w:rsidP="00B12301">
            <w:pPr>
              <w:pStyle w:val="ARTableText"/>
            </w:pPr>
            <w:r w:rsidRPr="00224131">
              <w:t>Male</w:t>
            </w:r>
          </w:p>
        </w:tc>
        <w:tc>
          <w:tcPr>
            <w:tcW w:w="1203" w:type="dxa"/>
          </w:tcPr>
          <w:p w14:paraId="37CCB025" w14:textId="65FED54E" w:rsidR="00291E5E" w:rsidRPr="00224131" w:rsidRDefault="00291E5E" w:rsidP="00B12301">
            <w:pPr>
              <w:pStyle w:val="ARTableText"/>
            </w:pPr>
            <w:r w:rsidRPr="00224131">
              <w:t>Part</w:t>
            </w:r>
            <w:r w:rsidR="0050078B">
              <w:noBreakHyphen/>
            </w:r>
            <w:r w:rsidRPr="00224131">
              <w:t>time</w:t>
            </w:r>
          </w:p>
        </w:tc>
        <w:tc>
          <w:tcPr>
            <w:tcW w:w="1203" w:type="dxa"/>
          </w:tcPr>
          <w:p w14:paraId="428E3BBB" w14:textId="3E3407F7" w:rsidR="00291E5E" w:rsidRPr="00224131" w:rsidRDefault="00291E5E" w:rsidP="00B12301">
            <w:pPr>
              <w:pStyle w:val="ARTableText"/>
            </w:pPr>
            <w:r w:rsidRPr="00224131">
              <w:t>Full</w:t>
            </w:r>
            <w:r w:rsidR="0050078B">
              <w:noBreakHyphen/>
            </w:r>
            <w:r w:rsidRPr="00224131">
              <w:t>time</w:t>
            </w:r>
          </w:p>
        </w:tc>
      </w:tr>
    </w:tbl>
    <w:p w14:paraId="51789DB0" w14:textId="77777777" w:rsidR="00291E5E" w:rsidRPr="00291E5E" w:rsidRDefault="00291E5E" w:rsidP="00B12301"/>
    <w:tbl>
      <w:tblPr>
        <w:tblStyle w:val="TableGrid"/>
        <w:tblW w:w="5000" w:type="pct"/>
        <w:tblLook w:val="04A0" w:firstRow="1" w:lastRow="0" w:firstColumn="1" w:lastColumn="0" w:noHBand="0" w:noVBand="1"/>
      </w:tblPr>
      <w:tblGrid>
        <w:gridCol w:w="1016"/>
        <w:gridCol w:w="1600"/>
        <w:gridCol w:w="1600"/>
        <w:gridCol w:w="1600"/>
        <w:gridCol w:w="1600"/>
        <w:gridCol w:w="1600"/>
      </w:tblGrid>
      <w:tr w:rsidR="00291E5E" w:rsidRPr="00291E5E" w14:paraId="2DF5C584" w14:textId="77777777" w:rsidTr="000E5EC2">
        <w:tc>
          <w:tcPr>
            <w:tcW w:w="763" w:type="dxa"/>
            <w:vMerge w:val="restart"/>
          </w:tcPr>
          <w:p w14:paraId="739905A6" w14:textId="77777777" w:rsidR="00291E5E" w:rsidRPr="00224131" w:rsidRDefault="00291E5E" w:rsidP="00B12301">
            <w:pPr>
              <w:pStyle w:val="ARTableText"/>
            </w:pPr>
            <w:r w:rsidRPr="00224131">
              <w:t>2020</w:t>
            </w:r>
          </w:p>
        </w:tc>
        <w:tc>
          <w:tcPr>
            <w:tcW w:w="1203" w:type="dxa"/>
          </w:tcPr>
          <w:p w14:paraId="507AA990" w14:textId="77777777" w:rsidR="00291E5E" w:rsidRPr="00291E5E" w:rsidRDefault="00291E5E" w:rsidP="00B12301">
            <w:pPr>
              <w:pStyle w:val="ARTableText"/>
            </w:pPr>
            <w:r w:rsidRPr="00291E5E">
              <w:t>41</w:t>
            </w:r>
          </w:p>
        </w:tc>
        <w:tc>
          <w:tcPr>
            <w:tcW w:w="1203" w:type="dxa"/>
          </w:tcPr>
          <w:p w14:paraId="0CC7E7AF" w14:textId="77777777" w:rsidR="00291E5E" w:rsidRPr="00291E5E" w:rsidRDefault="00291E5E" w:rsidP="00B12301">
            <w:pPr>
              <w:pStyle w:val="ARTableText"/>
            </w:pPr>
            <w:r w:rsidRPr="00291E5E">
              <w:t>24</w:t>
            </w:r>
          </w:p>
        </w:tc>
        <w:tc>
          <w:tcPr>
            <w:tcW w:w="1203" w:type="dxa"/>
          </w:tcPr>
          <w:p w14:paraId="6C0FED67" w14:textId="77777777" w:rsidR="00291E5E" w:rsidRPr="00291E5E" w:rsidRDefault="00291E5E" w:rsidP="00B12301">
            <w:pPr>
              <w:pStyle w:val="ARTableText"/>
            </w:pPr>
            <w:r w:rsidRPr="00291E5E">
              <w:t>17</w:t>
            </w:r>
          </w:p>
        </w:tc>
        <w:tc>
          <w:tcPr>
            <w:tcW w:w="1203" w:type="dxa"/>
          </w:tcPr>
          <w:p w14:paraId="3A13778A" w14:textId="77777777" w:rsidR="00291E5E" w:rsidRPr="00291E5E" w:rsidRDefault="00291E5E" w:rsidP="00B12301">
            <w:pPr>
              <w:pStyle w:val="ARTableText"/>
            </w:pPr>
            <w:r w:rsidRPr="00291E5E">
              <w:t>2</w:t>
            </w:r>
          </w:p>
        </w:tc>
        <w:tc>
          <w:tcPr>
            <w:tcW w:w="1203" w:type="dxa"/>
          </w:tcPr>
          <w:p w14:paraId="17DDAAFF" w14:textId="77777777" w:rsidR="00291E5E" w:rsidRPr="00291E5E" w:rsidRDefault="00291E5E" w:rsidP="00B12301">
            <w:pPr>
              <w:pStyle w:val="ARTableText"/>
            </w:pPr>
            <w:r w:rsidRPr="00291E5E">
              <w:t>39</w:t>
            </w:r>
          </w:p>
        </w:tc>
      </w:tr>
      <w:tr w:rsidR="00291E5E" w:rsidRPr="00291E5E" w14:paraId="08763BB8" w14:textId="77777777" w:rsidTr="000E5EC2">
        <w:tc>
          <w:tcPr>
            <w:tcW w:w="763" w:type="dxa"/>
            <w:vMerge/>
          </w:tcPr>
          <w:p w14:paraId="48A71A5E" w14:textId="77777777" w:rsidR="00291E5E" w:rsidRPr="00291E5E" w:rsidRDefault="00291E5E" w:rsidP="00B12301">
            <w:pPr>
              <w:pStyle w:val="ARTableText"/>
            </w:pPr>
          </w:p>
        </w:tc>
        <w:tc>
          <w:tcPr>
            <w:tcW w:w="1203" w:type="dxa"/>
          </w:tcPr>
          <w:p w14:paraId="4DAB5194" w14:textId="77777777" w:rsidR="00291E5E" w:rsidRPr="00224131" w:rsidRDefault="00291E5E" w:rsidP="00B12301">
            <w:pPr>
              <w:pStyle w:val="ARTableText"/>
            </w:pPr>
            <w:r w:rsidRPr="00224131">
              <w:t>Team member numbers</w:t>
            </w:r>
          </w:p>
        </w:tc>
        <w:tc>
          <w:tcPr>
            <w:tcW w:w="1203" w:type="dxa"/>
          </w:tcPr>
          <w:p w14:paraId="406574E8" w14:textId="77777777" w:rsidR="00291E5E" w:rsidRPr="00224131" w:rsidRDefault="00291E5E" w:rsidP="00B12301">
            <w:pPr>
              <w:pStyle w:val="ARTableText"/>
            </w:pPr>
            <w:r w:rsidRPr="00224131">
              <w:t>Female</w:t>
            </w:r>
          </w:p>
        </w:tc>
        <w:tc>
          <w:tcPr>
            <w:tcW w:w="1203" w:type="dxa"/>
          </w:tcPr>
          <w:p w14:paraId="0F42AF77" w14:textId="77777777" w:rsidR="00291E5E" w:rsidRPr="00224131" w:rsidRDefault="00291E5E" w:rsidP="00B12301">
            <w:pPr>
              <w:pStyle w:val="ARTableText"/>
            </w:pPr>
            <w:r w:rsidRPr="00224131">
              <w:t>Male</w:t>
            </w:r>
          </w:p>
        </w:tc>
        <w:tc>
          <w:tcPr>
            <w:tcW w:w="1203" w:type="dxa"/>
          </w:tcPr>
          <w:p w14:paraId="0C523124" w14:textId="597798B7" w:rsidR="00291E5E" w:rsidRPr="00224131" w:rsidRDefault="00291E5E" w:rsidP="00B12301">
            <w:pPr>
              <w:pStyle w:val="ARTableText"/>
            </w:pPr>
            <w:r w:rsidRPr="00224131">
              <w:t>Part</w:t>
            </w:r>
            <w:r w:rsidR="0050078B">
              <w:noBreakHyphen/>
            </w:r>
            <w:r w:rsidRPr="00224131">
              <w:t>time</w:t>
            </w:r>
          </w:p>
        </w:tc>
        <w:tc>
          <w:tcPr>
            <w:tcW w:w="1203" w:type="dxa"/>
          </w:tcPr>
          <w:p w14:paraId="4833DB70" w14:textId="64BE6726" w:rsidR="00291E5E" w:rsidRPr="00224131" w:rsidRDefault="00291E5E" w:rsidP="00B12301">
            <w:pPr>
              <w:pStyle w:val="ARTableText"/>
            </w:pPr>
            <w:r w:rsidRPr="00224131">
              <w:t>Full</w:t>
            </w:r>
            <w:r w:rsidR="0050078B">
              <w:noBreakHyphen/>
            </w:r>
            <w:r w:rsidRPr="00224131">
              <w:t>time</w:t>
            </w:r>
          </w:p>
        </w:tc>
      </w:tr>
      <w:bookmarkEnd w:id="10"/>
    </w:tbl>
    <w:p w14:paraId="39C4A370" w14:textId="77777777" w:rsidR="00291E5E" w:rsidRPr="00291E5E" w:rsidRDefault="00291E5E" w:rsidP="00B12301">
      <w:r w:rsidRPr="00291E5E">
        <w:br w:type="page"/>
      </w:r>
    </w:p>
    <w:p w14:paraId="47BEC406" w14:textId="47F3212C" w:rsidR="00291E5E" w:rsidRPr="00291E5E" w:rsidRDefault="00291E5E" w:rsidP="00D579F2">
      <w:pPr>
        <w:pStyle w:val="ARH1-Mainsectionheading"/>
      </w:pPr>
      <w:bookmarkStart w:id="11" w:name="_Toc82442768"/>
      <w:r w:rsidRPr="00291E5E">
        <w:lastRenderedPageBreak/>
        <w:t>Human resources</w:t>
      </w:r>
      <w:bookmarkEnd w:id="11"/>
    </w:p>
    <w:p w14:paraId="5F0E4C3F" w14:textId="2516F016" w:rsidR="00291E5E" w:rsidRPr="00291E5E" w:rsidRDefault="00291E5E" w:rsidP="00D579F2">
      <w:pPr>
        <w:pStyle w:val="ARH2-Bodycopyheadinglevel1"/>
      </w:pPr>
      <w:r w:rsidRPr="00291E5E">
        <w:t>Team member movements</w:t>
      </w:r>
      <w:r w:rsidR="003D2A3C">
        <w:t>, July – December 2020</w:t>
      </w:r>
    </w:p>
    <w:p w14:paraId="42900931" w14:textId="77777777" w:rsidR="00291E5E" w:rsidRPr="00291E5E" w:rsidRDefault="00291E5E" w:rsidP="00B12301">
      <w:r w:rsidRPr="00291E5E">
        <w:t>John Simpson continued the role of Chairperson and Ragini Rajadurai the role of Deputy Chairperson.</w:t>
      </w:r>
    </w:p>
    <w:p w14:paraId="2ABD83C1" w14:textId="77777777" w:rsidR="00291E5E" w:rsidRPr="00291E5E" w:rsidRDefault="00291E5E" w:rsidP="00B12301">
      <w:r w:rsidRPr="00291E5E">
        <w:t>From July to December 2020 the Tribunal had a significant decline in team members due to the impending closure on 31 December 2020. Several team members obtained roles within ASIC and several permanent and temporary team members finished their employment with the Tribunal.</w:t>
      </w:r>
    </w:p>
    <w:p w14:paraId="5FAC2A81" w14:textId="61BB9DF5" w:rsidR="00291E5E" w:rsidRPr="00291E5E" w:rsidRDefault="00291E5E" w:rsidP="00D579F2">
      <w:pPr>
        <w:pStyle w:val="ARH2-Bodycopyheadinglevel1"/>
      </w:pPr>
      <w:r w:rsidRPr="00291E5E">
        <w:t>Performance management</w:t>
      </w:r>
    </w:p>
    <w:p w14:paraId="6AE78049" w14:textId="77777777" w:rsidR="00291E5E" w:rsidRPr="00291E5E" w:rsidRDefault="00291E5E" w:rsidP="00B12301">
      <w:r w:rsidRPr="00291E5E">
        <w:t>The Tribunal continued to apply its existing performance management framework, which helps team members perform, develop and achieve workplace results.</w:t>
      </w:r>
    </w:p>
    <w:p w14:paraId="5742F79C" w14:textId="3794F779" w:rsidR="00291E5E" w:rsidRPr="00291E5E" w:rsidRDefault="00291E5E" w:rsidP="00D579F2">
      <w:pPr>
        <w:pStyle w:val="ARH2-Bodycopyheadinglevel1"/>
      </w:pPr>
      <w:r w:rsidRPr="00291E5E">
        <w:t>Career development and training</w:t>
      </w:r>
    </w:p>
    <w:p w14:paraId="3F21F908" w14:textId="77777777" w:rsidR="00291E5E" w:rsidRPr="00291E5E" w:rsidRDefault="00291E5E" w:rsidP="00B12301">
      <w:pPr>
        <w:rPr>
          <w:rFonts w:ascii="Arial" w:hAnsi="Arial" w:cs="Arial"/>
          <w:b/>
          <w:szCs w:val="24"/>
        </w:rPr>
      </w:pPr>
      <w:r w:rsidRPr="00291E5E">
        <w:t xml:space="preserve">During the year the Tribunal provided team members access to ongoing learning and development opportunities for them to enhance their skill base. </w:t>
      </w:r>
    </w:p>
    <w:p w14:paraId="746A7896" w14:textId="637B3DE1" w:rsidR="00291E5E" w:rsidRPr="00291E5E" w:rsidRDefault="00291E5E" w:rsidP="00D579F2">
      <w:pPr>
        <w:pStyle w:val="ARH2-Bodycopyheadinglevel1"/>
      </w:pPr>
      <w:r w:rsidRPr="00291E5E">
        <w:t>Workplace health and safety</w:t>
      </w:r>
    </w:p>
    <w:p w14:paraId="33A118B1" w14:textId="33B62E34" w:rsidR="00291E5E" w:rsidRPr="00291E5E" w:rsidRDefault="00291E5E" w:rsidP="00B12301">
      <w:r w:rsidRPr="00291E5E">
        <w:t>There were no medical incidents, non</w:t>
      </w:r>
      <w:r w:rsidR="0050078B">
        <w:noBreakHyphen/>
      </w:r>
      <w:r w:rsidRPr="00291E5E">
        <w:t>compensable rehabilitation cases or compensation claims in the reporting year. Two Tribunal team members who were trained First Aid Officers commenced roles within ASIC.</w:t>
      </w:r>
    </w:p>
    <w:p w14:paraId="463CFE11" w14:textId="75AA43FA" w:rsidR="00291E5E" w:rsidRPr="00291E5E" w:rsidRDefault="00291E5E" w:rsidP="00B12301">
      <w:r w:rsidRPr="00291E5E">
        <w:t>The Tribunal continued to face its biggest workplace health and safety issue being COVID</w:t>
      </w:r>
      <w:r w:rsidR="0050078B">
        <w:noBreakHyphen/>
      </w:r>
      <w:r w:rsidRPr="00291E5E">
        <w:t>19. Team members continued to work from home to reduce any physical risks and minimise accompanying anxiety. This action proved beneficial, with no Tribunal team members being diagnosed with COVID</w:t>
      </w:r>
      <w:r w:rsidR="0050078B">
        <w:noBreakHyphen/>
      </w:r>
      <w:r w:rsidRPr="00291E5E">
        <w:t>19. Team members also continued to be productive and engaged whilst working away from the office.</w:t>
      </w:r>
    </w:p>
    <w:p w14:paraId="65C32330" w14:textId="34CD015C" w:rsidR="00291E5E" w:rsidRPr="00291E5E" w:rsidRDefault="00291E5E" w:rsidP="00D579F2">
      <w:pPr>
        <w:pStyle w:val="ARH2-Bodycopyheadinglevel1"/>
      </w:pPr>
      <w:r w:rsidRPr="00291E5E">
        <w:t>Team member numbers</w:t>
      </w:r>
    </w:p>
    <w:p w14:paraId="0A29CDBF" w14:textId="3DA8888A" w:rsidR="00291E5E" w:rsidRPr="00291E5E" w:rsidRDefault="00291E5E" w:rsidP="00B12301">
      <w:r w:rsidRPr="00291E5E">
        <w:t>The following tables detail the Tribunal</w:t>
      </w:r>
      <w:r w:rsidR="0050078B">
        <w:t>’</w:t>
      </w:r>
      <w:r w:rsidRPr="00291E5E">
        <w:t xml:space="preserve">s team member numbers for 2020–21. At </w:t>
      </w:r>
      <w:r w:rsidR="000E5EC2" w:rsidRPr="00291E5E">
        <w:t>31</w:t>
      </w:r>
      <w:r w:rsidR="000E5EC2">
        <w:t> December</w:t>
      </w:r>
      <w:r w:rsidRPr="00291E5E">
        <w:t xml:space="preserve"> 2020, the Tribunal employed six team members, a decrease of 85.3% from 30</w:t>
      </w:r>
      <w:r w:rsidR="000E5EC2">
        <w:t> </w:t>
      </w:r>
      <w:r w:rsidRPr="00291E5E">
        <w:t>June 2020.</w:t>
      </w:r>
    </w:p>
    <w:p w14:paraId="00C6BBAF" w14:textId="77777777" w:rsidR="00291E5E" w:rsidRPr="00291E5E" w:rsidRDefault="00291E5E" w:rsidP="00B12301">
      <w:r w:rsidRPr="00291E5E">
        <w:t xml:space="preserve">The Tribunal had no team members who identify as Aboriginal or Torres Strait Islander. </w:t>
      </w:r>
    </w:p>
    <w:p w14:paraId="631ACAE4" w14:textId="77777777" w:rsidR="00291E5E" w:rsidRPr="00291E5E" w:rsidRDefault="00291E5E" w:rsidP="00B12301">
      <w:r w:rsidRPr="00291E5E">
        <w:t>All Tribunal team members were located in Melbourne during the 2020–21 reporting period.</w:t>
      </w:r>
    </w:p>
    <w:p w14:paraId="00A48AC5" w14:textId="77777777" w:rsidR="00291E5E" w:rsidRPr="00291E5E" w:rsidRDefault="00291E5E" w:rsidP="00B12301">
      <w:pPr>
        <w:rPr>
          <w:szCs w:val="20"/>
        </w:rPr>
      </w:pPr>
      <w:r w:rsidRPr="00291E5E">
        <w:br w:type="page"/>
      </w:r>
    </w:p>
    <w:p w14:paraId="436C6888" w14:textId="77777777" w:rsidR="00291E5E" w:rsidRPr="00291E5E" w:rsidRDefault="00291E5E" w:rsidP="00B12301">
      <w:pPr>
        <w:pStyle w:val="ARTableFigureTitle"/>
      </w:pPr>
      <w:r w:rsidRPr="00291E5E">
        <w:lastRenderedPageBreak/>
        <w:t>Table 6.1 Tribunal team members at 31 December 2020</w:t>
      </w:r>
    </w:p>
    <w:tbl>
      <w:tblPr>
        <w:tblStyle w:val="TableGrid"/>
        <w:tblW w:w="5000" w:type="pct"/>
        <w:tblLook w:val="04A0" w:firstRow="1" w:lastRow="0" w:firstColumn="1" w:lastColumn="0" w:noHBand="0" w:noVBand="1"/>
      </w:tblPr>
      <w:tblGrid>
        <w:gridCol w:w="1038"/>
        <w:gridCol w:w="1035"/>
        <w:gridCol w:w="834"/>
        <w:gridCol w:w="941"/>
        <w:gridCol w:w="836"/>
        <w:gridCol w:w="1035"/>
        <w:gridCol w:w="836"/>
        <w:gridCol w:w="885"/>
        <w:gridCol w:w="656"/>
        <w:gridCol w:w="920"/>
      </w:tblGrid>
      <w:tr w:rsidR="00291E5E" w:rsidRPr="00291E5E" w14:paraId="68882C3D" w14:textId="77777777" w:rsidTr="000E5EC2">
        <w:tc>
          <w:tcPr>
            <w:tcW w:w="1120" w:type="dxa"/>
            <w:vMerge w:val="restart"/>
          </w:tcPr>
          <w:p w14:paraId="30F2EF64" w14:textId="77777777" w:rsidR="00291E5E" w:rsidRPr="00291E5E" w:rsidRDefault="00291E5E" w:rsidP="00B12301">
            <w:pPr>
              <w:pStyle w:val="ARTableText"/>
            </w:pPr>
          </w:p>
        </w:tc>
        <w:tc>
          <w:tcPr>
            <w:tcW w:w="3920" w:type="dxa"/>
            <w:gridSpan w:val="4"/>
            <w:shd w:val="clear" w:color="auto" w:fill="0072CE"/>
          </w:tcPr>
          <w:p w14:paraId="72D6A74B" w14:textId="77777777" w:rsidR="00291E5E" w:rsidRPr="00291E5E" w:rsidRDefault="00291E5E" w:rsidP="00B12301">
            <w:pPr>
              <w:pStyle w:val="ARTableHeader"/>
            </w:pPr>
            <w:r w:rsidRPr="00291E5E">
              <w:t>PERMANENT</w:t>
            </w:r>
          </w:p>
        </w:tc>
        <w:tc>
          <w:tcPr>
            <w:tcW w:w="3576" w:type="dxa"/>
            <w:gridSpan w:val="4"/>
            <w:shd w:val="clear" w:color="auto" w:fill="0072CE"/>
          </w:tcPr>
          <w:p w14:paraId="2FDCCB87" w14:textId="77777777" w:rsidR="00291E5E" w:rsidRPr="00291E5E" w:rsidRDefault="00291E5E" w:rsidP="00B12301">
            <w:pPr>
              <w:pStyle w:val="ARTableHeader"/>
            </w:pPr>
            <w:r w:rsidRPr="00291E5E">
              <w:t>TEMPORARY</w:t>
            </w:r>
          </w:p>
        </w:tc>
        <w:tc>
          <w:tcPr>
            <w:tcW w:w="1006" w:type="dxa"/>
            <w:vMerge w:val="restart"/>
            <w:shd w:val="clear" w:color="auto" w:fill="0072CE"/>
          </w:tcPr>
          <w:p w14:paraId="4478C772" w14:textId="77777777" w:rsidR="00291E5E" w:rsidRPr="00291E5E" w:rsidRDefault="00291E5E" w:rsidP="00B12301">
            <w:pPr>
              <w:pStyle w:val="ARTableHeader"/>
            </w:pPr>
            <w:r w:rsidRPr="00291E5E">
              <w:t>TOTAL</w:t>
            </w:r>
          </w:p>
        </w:tc>
      </w:tr>
      <w:tr w:rsidR="00291E5E" w:rsidRPr="00291E5E" w14:paraId="2C2692FD" w14:textId="77777777" w:rsidTr="000E5EC2">
        <w:tc>
          <w:tcPr>
            <w:tcW w:w="1120" w:type="dxa"/>
            <w:vMerge/>
          </w:tcPr>
          <w:p w14:paraId="4B161978" w14:textId="77777777" w:rsidR="00291E5E" w:rsidRPr="00291E5E" w:rsidRDefault="00291E5E" w:rsidP="00B12301">
            <w:pPr>
              <w:pStyle w:val="ARTableText"/>
            </w:pPr>
          </w:p>
        </w:tc>
        <w:tc>
          <w:tcPr>
            <w:tcW w:w="2027" w:type="dxa"/>
            <w:gridSpan w:val="2"/>
            <w:shd w:val="clear" w:color="auto" w:fill="0072CE"/>
          </w:tcPr>
          <w:p w14:paraId="29DBED5B" w14:textId="0E0A244E" w:rsidR="00291E5E" w:rsidRPr="00291E5E" w:rsidRDefault="00291E5E" w:rsidP="00B12301">
            <w:pPr>
              <w:pStyle w:val="ARTableHeader"/>
            </w:pPr>
            <w:r w:rsidRPr="00291E5E">
              <w:t>Full</w:t>
            </w:r>
            <w:r w:rsidR="0050078B">
              <w:noBreakHyphen/>
            </w:r>
            <w:r w:rsidRPr="00291E5E">
              <w:t>time</w:t>
            </w:r>
          </w:p>
        </w:tc>
        <w:tc>
          <w:tcPr>
            <w:tcW w:w="1893" w:type="dxa"/>
            <w:gridSpan w:val="2"/>
            <w:shd w:val="clear" w:color="auto" w:fill="0072CE"/>
          </w:tcPr>
          <w:p w14:paraId="752D90F3" w14:textId="71F644B4" w:rsidR="00291E5E" w:rsidRPr="00291E5E" w:rsidRDefault="00291E5E" w:rsidP="00B12301">
            <w:pPr>
              <w:pStyle w:val="ARTableHeader"/>
            </w:pPr>
            <w:r w:rsidRPr="00291E5E">
              <w:t>Part</w:t>
            </w:r>
            <w:r w:rsidR="0050078B">
              <w:noBreakHyphen/>
            </w:r>
            <w:r w:rsidRPr="00291E5E">
              <w:t>time</w:t>
            </w:r>
          </w:p>
        </w:tc>
        <w:tc>
          <w:tcPr>
            <w:tcW w:w="2029" w:type="dxa"/>
            <w:gridSpan w:val="2"/>
            <w:shd w:val="clear" w:color="auto" w:fill="0072CE"/>
          </w:tcPr>
          <w:p w14:paraId="701EB2C2" w14:textId="6CD86147" w:rsidR="00291E5E" w:rsidRPr="00291E5E" w:rsidRDefault="00291E5E" w:rsidP="00B12301">
            <w:pPr>
              <w:pStyle w:val="ARTableHeader"/>
            </w:pPr>
            <w:r w:rsidRPr="00291E5E">
              <w:t>Full</w:t>
            </w:r>
            <w:r w:rsidR="0050078B">
              <w:noBreakHyphen/>
            </w:r>
            <w:r w:rsidRPr="00291E5E">
              <w:t>time</w:t>
            </w:r>
          </w:p>
        </w:tc>
        <w:tc>
          <w:tcPr>
            <w:tcW w:w="1547" w:type="dxa"/>
            <w:gridSpan w:val="2"/>
            <w:shd w:val="clear" w:color="auto" w:fill="0072CE"/>
          </w:tcPr>
          <w:p w14:paraId="64BCBFAD" w14:textId="082C1798" w:rsidR="00291E5E" w:rsidRPr="00291E5E" w:rsidRDefault="00291E5E" w:rsidP="00B12301">
            <w:pPr>
              <w:pStyle w:val="ARTableHeader"/>
            </w:pPr>
            <w:r w:rsidRPr="00291E5E">
              <w:t>Part</w:t>
            </w:r>
            <w:r w:rsidR="0050078B">
              <w:noBreakHyphen/>
            </w:r>
            <w:r w:rsidRPr="00291E5E">
              <w:t>time</w:t>
            </w:r>
          </w:p>
        </w:tc>
        <w:tc>
          <w:tcPr>
            <w:tcW w:w="1006" w:type="dxa"/>
            <w:vMerge/>
            <w:shd w:val="clear" w:color="auto" w:fill="0072CE"/>
          </w:tcPr>
          <w:p w14:paraId="38122BC9" w14:textId="77777777" w:rsidR="00291E5E" w:rsidRPr="00291E5E" w:rsidRDefault="00291E5E" w:rsidP="00B12301">
            <w:pPr>
              <w:pStyle w:val="ARTableHeader"/>
            </w:pPr>
          </w:p>
        </w:tc>
      </w:tr>
      <w:tr w:rsidR="00291E5E" w:rsidRPr="00291E5E" w14:paraId="75B5F4D5" w14:textId="77777777" w:rsidTr="000E5EC2">
        <w:tc>
          <w:tcPr>
            <w:tcW w:w="1120" w:type="dxa"/>
            <w:vMerge/>
          </w:tcPr>
          <w:p w14:paraId="5EE1CD00" w14:textId="77777777" w:rsidR="00291E5E" w:rsidRPr="00291E5E" w:rsidRDefault="00291E5E" w:rsidP="00B12301">
            <w:pPr>
              <w:pStyle w:val="ARTableText"/>
            </w:pPr>
          </w:p>
        </w:tc>
        <w:tc>
          <w:tcPr>
            <w:tcW w:w="1112" w:type="dxa"/>
            <w:shd w:val="clear" w:color="auto" w:fill="0072CE"/>
          </w:tcPr>
          <w:p w14:paraId="178251B8" w14:textId="77777777" w:rsidR="00291E5E" w:rsidRPr="00291E5E" w:rsidRDefault="00291E5E" w:rsidP="00B12301">
            <w:pPr>
              <w:pStyle w:val="ARTableHeader"/>
            </w:pPr>
            <w:r w:rsidRPr="00291E5E">
              <w:t>Female</w:t>
            </w:r>
          </w:p>
        </w:tc>
        <w:tc>
          <w:tcPr>
            <w:tcW w:w="915" w:type="dxa"/>
            <w:shd w:val="clear" w:color="auto" w:fill="0072CE"/>
          </w:tcPr>
          <w:p w14:paraId="7D85B5B7" w14:textId="77777777" w:rsidR="00291E5E" w:rsidRPr="00291E5E" w:rsidRDefault="00291E5E" w:rsidP="00B12301">
            <w:pPr>
              <w:pStyle w:val="ARTableHeader"/>
            </w:pPr>
            <w:r w:rsidRPr="00291E5E">
              <w:t>Male</w:t>
            </w:r>
          </w:p>
        </w:tc>
        <w:tc>
          <w:tcPr>
            <w:tcW w:w="976" w:type="dxa"/>
            <w:shd w:val="clear" w:color="auto" w:fill="0072CE"/>
          </w:tcPr>
          <w:p w14:paraId="0D991E53" w14:textId="77777777" w:rsidR="00291E5E" w:rsidRPr="00291E5E" w:rsidRDefault="00291E5E" w:rsidP="00B12301">
            <w:pPr>
              <w:pStyle w:val="ARTableHeader"/>
            </w:pPr>
            <w:r w:rsidRPr="00291E5E">
              <w:t>Female</w:t>
            </w:r>
          </w:p>
        </w:tc>
        <w:tc>
          <w:tcPr>
            <w:tcW w:w="917" w:type="dxa"/>
            <w:shd w:val="clear" w:color="auto" w:fill="0072CE"/>
          </w:tcPr>
          <w:p w14:paraId="462D1EE8" w14:textId="77777777" w:rsidR="00291E5E" w:rsidRPr="00291E5E" w:rsidRDefault="00291E5E" w:rsidP="00B12301">
            <w:pPr>
              <w:pStyle w:val="ARTableHeader"/>
            </w:pPr>
            <w:r w:rsidRPr="00291E5E">
              <w:t>Male</w:t>
            </w:r>
          </w:p>
        </w:tc>
        <w:tc>
          <w:tcPr>
            <w:tcW w:w="1112" w:type="dxa"/>
            <w:shd w:val="clear" w:color="auto" w:fill="0072CE"/>
          </w:tcPr>
          <w:p w14:paraId="4C07926E" w14:textId="77777777" w:rsidR="00291E5E" w:rsidRPr="00291E5E" w:rsidRDefault="00291E5E" w:rsidP="00B12301">
            <w:pPr>
              <w:pStyle w:val="ARTableHeader"/>
            </w:pPr>
            <w:r w:rsidRPr="00291E5E">
              <w:t>Female</w:t>
            </w:r>
          </w:p>
        </w:tc>
        <w:tc>
          <w:tcPr>
            <w:tcW w:w="917" w:type="dxa"/>
            <w:shd w:val="clear" w:color="auto" w:fill="0072CE"/>
          </w:tcPr>
          <w:p w14:paraId="5989723B" w14:textId="77777777" w:rsidR="00291E5E" w:rsidRPr="00291E5E" w:rsidRDefault="00291E5E" w:rsidP="00B12301">
            <w:pPr>
              <w:pStyle w:val="ARTableHeader"/>
            </w:pPr>
            <w:r w:rsidRPr="00291E5E">
              <w:t>Male</w:t>
            </w:r>
          </w:p>
        </w:tc>
        <w:tc>
          <w:tcPr>
            <w:tcW w:w="894" w:type="dxa"/>
            <w:shd w:val="clear" w:color="auto" w:fill="0072CE"/>
          </w:tcPr>
          <w:p w14:paraId="08F02D56" w14:textId="77777777" w:rsidR="00291E5E" w:rsidRPr="00291E5E" w:rsidRDefault="00291E5E" w:rsidP="00B12301">
            <w:pPr>
              <w:pStyle w:val="ARTableHeader"/>
            </w:pPr>
            <w:r w:rsidRPr="00291E5E">
              <w:t>Female</w:t>
            </w:r>
          </w:p>
        </w:tc>
        <w:tc>
          <w:tcPr>
            <w:tcW w:w="653" w:type="dxa"/>
            <w:shd w:val="clear" w:color="auto" w:fill="0072CE"/>
          </w:tcPr>
          <w:p w14:paraId="0107DEF0" w14:textId="77777777" w:rsidR="00291E5E" w:rsidRPr="00291E5E" w:rsidRDefault="00291E5E" w:rsidP="00B12301">
            <w:pPr>
              <w:pStyle w:val="ARTableHeader"/>
            </w:pPr>
            <w:r w:rsidRPr="00291E5E">
              <w:t>Male</w:t>
            </w:r>
          </w:p>
        </w:tc>
        <w:tc>
          <w:tcPr>
            <w:tcW w:w="1006" w:type="dxa"/>
            <w:shd w:val="clear" w:color="auto" w:fill="0072CE"/>
          </w:tcPr>
          <w:p w14:paraId="2600547D" w14:textId="77777777" w:rsidR="00291E5E" w:rsidRPr="00291E5E" w:rsidRDefault="00291E5E" w:rsidP="00B12301">
            <w:pPr>
              <w:pStyle w:val="ARTableHeader"/>
            </w:pPr>
          </w:p>
        </w:tc>
      </w:tr>
      <w:tr w:rsidR="00291E5E" w:rsidRPr="00291E5E" w14:paraId="505337AD" w14:textId="77777777" w:rsidTr="000E5EC2">
        <w:tc>
          <w:tcPr>
            <w:tcW w:w="1120" w:type="dxa"/>
          </w:tcPr>
          <w:p w14:paraId="607E8846" w14:textId="77777777" w:rsidR="00291E5E" w:rsidRPr="00291E5E" w:rsidRDefault="00291E5E" w:rsidP="00B12301">
            <w:pPr>
              <w:pStyle w:val="ARTableText"/>
            </w:pPr>
            <w:r w:rsidRPr="00291E5E">
              <w:t>CHAIR</w:t>
            </w:r>
          </w:p>
        </w:tc>
        <w:tc>
          <w:tcPr>
            <w:tcW w:w="1112" w:type="dxa"/>
          </w:tcPr>
          <w:p w14:paraId="713ED572" w14:textId="77777777" w:rsidR="00291E5E" w:rsidRPr="00291E5E" w:rsidRDefault="00291E5E" w:rsidP="00B12301">
            <w:pPr>
              <w:pStyle w:val="ARTableText"/>
            </w:pPr>
          </w:p>
        </w:tc>
        <w:tc>
          <w:tcPr>
            <w:tcW w:w="915" w:type="dxa"/>
          </w:tcPr>
          <w:p w14:paraId="128F6576" w14:textId="77777777" w:rsidR="00291E5E" w:rsidRPr="00291E5E" w:rsidRDefault="00291E5E" w:rsidP="00B12301">
            <w:pPr>
              <w:pStyle w:val="ARTableText"/>
            </w:pPr>
          </w:p>
        </w:tc>
        <w:tc>
          <w:tcPr>
            <w:tcW w:w="976" w:type="dxa"/>
          </w:tcPr>
          <w:p w14:paraId="22341AD7" w14:textId="77777777" w:rsidR="00291E5E" w:rsidRPr="00291E5E" w:rsidRDefault="00291E5E" w:rsidP="00B12301">
            <w:pPr>
              <w:pStyle w:val="ARTableText"/>
            </w:pPr>
          </w:p>
        </w:tc>
        <w:tc>
          <w:tcPr>
            <w:tcW w:w="917" w:type="dxa"/>
          </w:tcPr>
          <w:p w14:paraId="43F65BB5" w14:textId="77777777" w:rsidR="00291E5E" w:rsidRPr="00291E5E" w:rsidRDefault="00291E5E" w:rsidP="00B12301">
            <w:pPr>
              <w:pStyle w:val="ARTableText"/>
            </w:pPr>
          </w:p>
        </w:tc>
        <w:tc>
          <w:tcPr>
            <w:tcW w:w="1112" w:type="dxa"/>
          </w:tcPr>
          <w:p w14:paraId="5D291208" w14:textId="77777777" w:rsidR="00291E5E" w:rsidRPr="00291E5E" w:rsidRDefault="00291E5E" w:rsidP="00B12301">
            <w:pPr>
              <w:pStyle w:val="ARTableText"/>
            </w:pPr>
          </w:p>
        </w:tc>
        <w:tc>
          <w:tcPr>
            <w:tcW w:w="917" w:type="dxa"/>
          </w:tcPr>
          <w:p w14:paraId="0BA5B099" w14:textId="77777777" w:rsidR="00291E5E" w:rsidRPr="00291E5E" w:rsidRDefault="00291E5E" w:rsidP="00B12301">
            <w:pPr>
              <w:pStyle w:val="ARTableText"/>
            </w:pPr>
            <w:r w:rsidRPr="00291E5E">
              <w:t>1</w:t>
            </w:r>
          </w:p>
        </w:tc>
        <w:tc>
          <w:tcPr>
            <w:tcW w:w="894" w:type="dxa"/>
          </w:tcPr>
          <w:p w14:paraId="6E74A270" w14:textId="77777777" w:rsidR="00291E5E" w:rsidRPr="00291E5E" w:rsidRDefault="00291E5E" w:rsidP="00B12301">
            <w:pPr>
              <w:pStyle w:val="ARTableText"/>
            </w:pPr>
          </w:p>
        </w:tc>
        <w:tc>
          <w:tcPr>
            <w:tcW w:w="653" w:type="dxa"/>
          </w:tcPr>
          <w:p w14:paraId="0B88A01F" w14:textId="77777777" w:rsidR="00291E5E" w:rsidRPr="00291E5E" w:rsidRDefault="00291E5E" w:rsidP="00B12301">
            <w:pPr>
              <w:pStyle w:val="ARTableText"/>
            </w:pPr>
          </w:p>
        </w:tc>
        <w:tc>
          <w:tcPr>
            <w:tcW w:w="1006" w:type="dxa"/>
          </w:tcPr>
          <w:p w14:paraId="13737B70" w14:textId="77777777" w:rsidR="00291E5E" w:rsidRPr="00291E5E" w:rsidRDefault="00291E5E" w:rsidP="00B12301">
            <w:pPr>
              <w:pStyle w:val="ARTableText"/>
            </w:pPr>
            <w:r w:rsidRPr="00291E5E">
              <w:t>1</w:t>
            </w:r>
          </w:p>
        </w:tc>
      </w:tr>
      <w:tr w:rsidR="00291E5E" w:rsidRPr="00291E5E" w14:paraId="68BF5A67" w14:textId="77777777" w:rsidTr="000E5EC2">
        <w:tc>
          <w:tcPr>
            <w:tcW w:w="1120" w:type="dxa"/>
          </w:tcPr>
          <w:p w14:paraId="238BC656" w14:textId="77777777" w:rsidR="00291E5E" w:rsidRPr="00291E5E" w:rsidRDefault="00291E5E" w:rsidP="00B12301">
            <w:pPr>
              <w:pStyle w:val="ARTableText"/>
            </w:pPr>
            <w:r w:rsidRPr="00291E5E">
              <w:t>DEPUTY CHAIR</w:t>
            </w:r>
          </w:p>
        </w:tc>
        <w:tc>
          <w:tcPr>
            <w:tcW w:w="1112" w:type="dxa"/>
          </w:tcPr>
          <w:p w14:paraId="44448697" w14:textId="77777777" w:rsidR="00291E5E" w:rsidRPr="00291E5E" w:rsidRDefault="00291E5E" w:rsidP="00B12301">
            <w:pPr>
              <w:pStyle w:val="ARTableText"/>
            </w:pPr>
          </w:p>
        </w:tc>
        <w:tc>
          <w:tcPr>
            <w:tcW w:w="915" w:type="dxa"/>
          </w:tcPr>
          <w:p w14:paraId="13EC3549" w14:textId="77777777" w:rsidR="00291E5E" w:rsidRPr="00291E5E" w:rsidRDefault="00291E5E" w:rsidP="00B12301">
            <w:pPr>
              <w:pStyle w:val="ARTableText"/>
            </w:pPr>
          </w:p>
        </w:tc>
        <w:tc>
          <w:tcPr>
            <w:tcW w:w="976" w:type="dxa"/>
          </w:tcPr>
          <w:p w14:paraId="67C4F09B" w14:textId="77777777" w:rsidR="00291E5E" w:rsidRPr="00291E5E" w:rsidRDefault="00291E5E" w:rsidP="00B12301">
            <w:pPr>
              <w:pStyle w:val="ARTableText"/>
            </w:pPr>
          </w:p>
        </w:tc>
        <w:tc>
          <w:tcPr>
            <w:tcW w:w="917" w:type="dxa"/>
          </w:tcPr>
          <w:p w14:paraId="094F6844" w14:textId="77777777" w:rsidR="00291E5E" w:rsidRPr="00291E5E" w:rsidRDefault="00291E5E" w:rsidP="00B12301">
            <w:pPr>
              <w:pStyle w:val="ARTableText"/>
            </w:pPr>
          </w:p>
        </w:tc>
        <w:tc>
          <w:tcPr>
            <w:tcW w:w="1112" w:type="dxa"/>
          </w:tcPr>
          <w:p w14:paraId="465FB924" w14:textId="77777777" w:rsidR="00291E5E" w:rsidRPr="00291E5E" w:rsidRDefault="00291E5E" w:rsidP="00B12301">
            <w:pPr>
              <w:pStyle w:val="ARTableText"/>
            </w:pPr>
            <w:r w:rsidRPr="00291E5E">
              <w:t>1</w:t>
            </w:r>
          </w:p>
        </w:tc>
        <w:tc>
          <w:tcPr>
            <w:tcW w:w="917" w:type="dxa"/>
          </w:tcPr>
          <w:p w14:paraId="614E7C02" w14:textId="77777777" w:rsidR="00291E5E" w:rsidRPr="00291E5E" w:rsidRDefault="00291E5E" w:rsidP="00B12301">
            <w:pPr>
              <w:pStyle w:val="ARTableText"/>
            </w:pPr>
          </w:p>
        </w:tc>
        <w:tc>
          <w:tcPr>
            <w:tcW w:w="894" w:type="dxa"/>
          </w:tcPr>
          <w:p w14:paraId="1AF84214" w14:textId="77777777" w:rsidR="00291E5E" w:rsidRPr="00291E5E" w:rsidRDefault="00291E5E" w:rsidP="00B12301">
            <w:pPr>
              <w:pStyle w:val="ARTableText"/>
            </w:pPr>
          </w:p>
        </w:tc>
        <w:tc>
          <w:tcPr>
            <w:tcW w:w="653" w:type="dxa"/>
          </w:tcPr>
          <w:p w14:paraId="410BBB94" w14:textId="77777777" w:rsidR="00291E5E" w:rsidRPr="00291E5E" w:rsidRDefault="00291E5E" w:rsidP="00B12301">
            <w:pPr>
              <w:pStyle w:val="ARTableText"/>
            </w:pPr>
          </w:p>
        </w:tc>
        <w:tc>
          <w:tcPr>
            <w:tcW w:w="1006" w:type="dxa"/>
          </w:tcPr>
          <w:p w14:paraId="7A27ED16" w14:textId="77777777" w:rsidR="00291E5E" w:rsidRPr="00291E5E" w:rsidRDefault="00291E5E" w:rsidP="00B12301">
            <w:pPr>
              <w:pStyle w:val="ARTableText"/>
            </w:pPr>
            <w:r w:rsidRPr="00291E5E">
              <w:t>1</w:t>
            </w:r>
          </w:p>
        </w:tc>
      </w:tr>
      <w:tr w:rsidR="00291E5E" w:rsidRPr="00291E5E" w14:paraId="14A9A4E6" w14:textId="77777777" w:rsidTr="000E5EC2">
        <w:tc>
          <w:tcPr>
            <w:tcW w:w="1120" w:type="dxa"/>
          </w:tcPr>
          <w:p w14:paraId="0FFC1389" w14:textId="77777777" w:rsidR="00291E5E" w:rsidRPr="00291E5E" w:rsidRDefault="00291E5E" w:rsidP="00B12301">
            <w:pPr>
              <w:pStyle w:val="ARTableText"/>
            </w:pPr>
            <w:r w:rsidRPr="00291E5E">
              <w:t>EXEC 2</w:t>
            </w:r>
          </w:p>
        </w:tc>
        <w:tc>
          <w:tcPr>
            <w:tcW w:w="1112" w:type="dxa"/>
          </w:tcPr>
          <w:p w14:paraId="54863ABF" w14:textId="77777777" w:rsidR="00291E5E" w:rsidRPr="00291E5E" w:rsidRDefault="00291E5E" w:rsidP="00B12301">
            <w:pPr>
              <w:pStyle w:val="ARTableText"/>
            </w:pPr>
          </w:p>
        </w:tc>
        <w:tc>
          <w:tcPr>
            <w:tcW w:w="915" w:type="dxa"/>
          </w:tcPr>
          <w:p w14:paraId="3C889245" w14:textId="77777777" w:rsidR="00291E5E" w:rsidRPr="00291E5E" w:rsidRDefault="00291E5E" w:rsidP="00B12301">
            <w:pPr>
              <w:pStyle w:val="ARTableText"/>
            </w:pPr>
          </w:p>
        </w:tc>
        <w:tc>
          <w:tcPr>
            <w:tcW w:w="976" w:type="dxa"/>
          </w:tcPr>
          <w:p w14:paraId="5E603596" w14:textId="77777777" w:rsidR="00291E5E" w:rsidRPr="00291E5E" w:rsidRDefault="00291E5E" w:rsidP="00B12301">
            <w:pPr>
              <w:pStyle w:val="ARTableText"/>
            </w:pPr>
          </w:p>
        </w:tc>
        <w:tc>
          <w:tcPr>
            <w:tcW w:w="917" w:type="dxa"/>
          </w:tcPr>
          <w:p w14:paraId="2BF49123" w14:textId="77777777" w:rsidR="00291E5E" w:rsidRPr="00291E5E" w:rsidRDefault="00291E5E" w:rsidP="00B12301">
            <w:pPr>
              <w:pStyle w:val="ARTableText"/>
            </w:pPr>
          </w:p>
        </w:tc>
        <w:tc>
          <w:tcPr>
            <w:tcW w:w="1112" w:type="dxa"/>
          </w:tcPr>
          <w:p w14:paraId="6070B6CB" w14:textId="77777777" w:rsidR="00291E5E" w:rsidRPr="00291E5E" w:rsidRDefault="00291E5E" w:rsidP="00B12301">
            <w:pPr>
              <w:pStyle w:val="ARTableText"/>
            </w:pPr>
          </w:p>
        </w:tc>
        <w:tc>
          <w:tcPr>
            <w:tcW w:w="917" w:type="dxa"/>
          </w:tcPr>
          <w:p w14:paraId="5F2163BC" w14:textId="77777777" w:rsidR="00291E5E" w:rsidRPr="00291E5E" w:rsidRDefault="00291E5E" w:rsidP="00B12301">
            <w:pPr>
              <w:pStyle w:val="ARTableText"/>
            </w:pPr>
          </w:p>
        </w:tc>
        <w:tc>
          <w:tcPr>
            <w:tcW w:w="894" w:type="dxa"/>
          </w:tcPr>
          <w:p w14:paraId="1EFC02E8" w14:textId="77777777" w:rsidR="00291E5E" w:rsidRPr="00291E5E" w:rsidRDefault="00291E5E" w:rsidP="00B12301">
            <w:pPr>
              <w:pStyle w:val="ARTableText"/>
            </w:pPr>
          </w:p>
        </w:tc>
        <w:tc>
          <w:tcPr>
            <w:tcW w:w="653" w:type="dxa"/>
          </w:tcPr>
          <w:p w14:paraId="45084F6E" w14:textId="77777777" w:rsidR="00291E5E" w:rsidRPr="00291E5E" w:rsidRDefault="00291E5E" w:rsidP="00B12301">
            <w:pPr>
              <w:pStyle w:val="ARTableText"/>
            </w:pPr>
          </w:p>
        </w:tc>
        <w:tc>
          <w:tcPr>
            <w:tcW w:w="1006" w:type="dxa"/>
          </w:tcPr>
          <w:p w14:paraId="6ADBFDEF" w14:textId="77777777" w:rsidR="00291E5E" w:rsidRPr="00291E5E" w:rsidRDefault="00291E5E" w:rsidP="00B12301">
            <w:pPr>
              <w:pStyle w:val="ARTableText"/>
            </w:pPr>
          </w:p>
        </w:tc>
      </w:tr>
      <w:tr w:rsidR="00291E5E" w:rsidRPr="00291E5E" w14:paraId="3F9653CE" w14:textId="77777777" w:rsidTr="000E5EC2">
        <w:tc>
          <w:tcPr>
            <w:tcW w:w="1120" w:type="dxa"/>
          </w:tcPr>
          <w:p w14:paraId="4B27D4C2" w14:textId="77777777" w:rsidR="00291E5E" w:rsidRPr="00291E5E" w:rsidRDefault="00291E5E" w:rsidP="00B12301">
            <w:pPr>
              <w:pStyle w:val="ARTableText"/>
            </w:pPr>
            <w:r w:rsidRPr="00291E5E">
              <w:t>EXEC 1</w:t>
            </w:r>
          </w:p>
        </w:tc>
        <w:tc>
          <w:tcPr>
            <w:tcW w:w="1112" w:type="dxa"/>
          </w:tcPr>
          <w:p w14:paraId="521A0213" w14:textId="77777777" w:rsidR="00291E5E" w:rsidRPr="00291E5E" w:rsidRDefault="00291E5E" w:rsidP="00B12301">
            <w:pPr>
              <w:pStyle w:val="ARTableText"/>
            </w:pPr>
          </w:p>
        </w:tc>
        <w:tc>
          <w:tcPr>
            <w:tcW w:w="915" w:type="dxa"/>
          </w:tcPr>
          <w:p w14:paraId="4ACE6672" w14:textId="77777777" w:rsidR="00291E5E" w:rsidRPr="00291E5E" w:rsidRDefault="00291E5E" w:rsidP="00B12301">
            <w:pPr>
              <w:pStyle w:val="ARTableText"/>
            </w:pPr>
            <w:r w:rsidRPr="00291E5E">
              <w:t>1</w:t>
            </w:r>
          </w:p>
        </w:tc>
        <w:tc>
          <w:tcPr>
            <w:tcW w:w="976" w:type="dxa"/>
          </w:tcPr>
          <w:p w14:paraId="6B3D118E" w14:textId="77777777" w:rsidR="00291E5E" w:rsidRPr="00291E5E" w:rsidRDefault="00291E5E" w:rsidP="00B12301">
            <w:pPr>
              <w:pStyle w:val="ARTableText"/>
            </w:pPr>
          </w:p>
        </w:tc>
        <w:tc>
          <w:tcPr>
            <w:tcW w:w="917" w:type="dxa"/>
          </w:tcPr>
          <w:p w14:paraId="20D7753D" w14:textId="77777777" w:rsidR="00291E5E" w:rsidRPr="00291E5E" w:rsidRDefault="00291E5E" w:rsidP="00B12301">
            <w:pPr>
              <w:pStyle w:val="ARTableText"/>
            </w:pPr>
          </w:p>
        </w:tc>
        <w:tc>
          <w:tcPr>
            <w:tcW w:w="1112" w:type="dxa"/>
          </w:tcPr>
          <w:p w14:paraId="04B97A5C" w14:textId="77777777" w:rsidR="00291E5E" w:rsidRPr="00291E5E" w:rsidRDefault="00291E5E" w:rsidP="00B12301">
            <w:pPr>
              <w:pStyle w:val="ARTableText"/>
            </w:pPr>
          </w:p>
        </w:tc>
        <w:tc>
          <w:tcPr>
            <w:tcW w:w="917" w:type="dxa"/>
          </w:tcPr>
          <w:p w14:paraId="5A97BCB0" w14:textId="77777777" w:rsidR="00291E5E" w:rsidRPr="00291E5E" w:rsidRDefault="00291E5E" w:rsidP="00B12301">
            <w:pPr>
              <w:pStyle w:val="ARTableText"/>
            </w:pPr>
          </w:p>
        </w:tc>
        <w:tc>
          <w:tcPr>
            <w:tcW w:w="894" w:type="dxa"/>
          </w:tcPr>
          <w:p w14:paraId="0A2E9EA8" w14:textId="77777777" w:rsidR="00291E5E" w:rsidRPr="00291E5E" w:rsidRDefault="00291E5E" w:rsidP="00B12301">
            <w:pPr>
              <w:pStyle w:val="ARTableText"/>
            </w:pPr>
          </w:p>
        </w:tc>
        <w:tc>
          <w:tcPr>
            <w:tcW w:w="653" w:type="dxa"/>
          </w:tcPr>
          <w:p w14:paraId="39894A08" w14:textId="77777777" w:rsidR="00291E5E" w:rsidRPr="00291E5E" w:rsidRDefault="00291E5E" w:rsidP="00B12301">
            <w:pPr>
              <w:pStyle w:val="ARTableText"/>
            </w:pPr>
          </w:p>
        </w:tc>
        <w:tc>
          <w:tcPr>
            <w:tcW w:w="1006" w:type="dxa"/>
          </w:tcPr>
          <w:p w14:paraId="62E9D4D1" w14:textId="77777777" w:rsidR="00291E5E" w:rsidRPr="00291E5E" w:rsidRDefault="00291E5E" w:rsidP="00B12301">
            <w:pPr>
              <w:pStyle w:val="ARTableText"/>
            </w:pPr>
            <w:r w:rsidRPr="00291E5E">
              <w:t>1</w:t>
            </w:r>
          </w:p>
        </w:tc>
      </w:tr>
      <w:tr w:rsidR="00291E5E" w:rsidRPr="00291E5E" w14:paraId="3D551049" w14:textId="77777777" w:rsidTr="000E5EC2">
        <w:tc>
          <w:tcPr>
            <w:tcW w:w="1120" w:type="dxa"/>
          </w:tcPr>
          <w:p w14:paraId="0519E5AC" w14:textId="77777777" w:rsidR="00291E5E" w:rsidRPr="00291E5E" w:rsidRDefault="00291E5E" w:rsidP="00B12301">
            <w:pPr>
              <w:pStyle w:val="ARTableText"/>
            </w:pPr>
            <w:r w:rsidRPr="00291E5E">
              <w:t>ASIC4</w:t>
            </w:r>
          </w:p>
        </w:tc>
        <w:tc>
          <w:tcPr>
            <w:tcW w:w="1112" w:type="dxa"/>
          </w:tcPr>
          <w:p w14:paraId="4D8CB72C" w14:textId="77777777" w:rsidR="00291E5E" w:rsidRPr="00291E5E" w:rsidRDefault="00291E5E" w:rsidP="00B12301">
            <w:pPr>
              <w:pStyle w:val="ARTableText"/>
            </w:pPr>
            <w:r w:rsidRPr="00291E5E">
              <w:t>1</w:t>
            </w:r>
          </w:p>
        </w:tc>
        <w:tc>
          <w:tcPr>
            <w:tcW w:w="915" w:type="dxa"/>
          </w:tcPr>
          <w:p w14:paraId="2A5BFBF6" w14:textId="77777777" w:rsidR="00291E5E" w:rsidRPr="00291E5E" w:rsidRDefault="00291E5E" w:rsidP="00B12301">
            <w:pPr>
              <w:pStyle w:val="ARTableText"/>
            </w:pPr>
            <w:r w:rsidRPr="00291E5E">
              <w:t>1</w:t>
            </w:r>
          </w:p>
        </w:tc>
        <w:tc>
          <w:tcPr>
            <w:tcW w:w="976" w:type="dxa"/>
          </w:tcPr>
          <w:p w14:paraId="25DDD234" w14:textId="77777777" w:rsidR="00291E5E" w:rsidRPr="00291E5E" w:rsidRDefault="00291E5E" w:rsidP="00B12301">
            <w:pPr>
              <w:pStyle w:val="ARTableText"/>
            </w:pPr>
          </w:p>
        </w:tc>
        <w:tc>
          <w:tcPr>
            <w:tcW w:w="917" w:type="dxa"/>
          </w:tcPr>
          <w:p w14:paraId="49D5D375" w14:textId="77777777" w:rsidR="00291E5E" w:rsidRPr="00291E5E" w:rsidRDefault="00291E5E" w:rsidP="00B12301">
            <w:pPr>
              <w:pStyle w:val="ARTableText"/>
            </w:pPr>
          </w:p>
        </w:tc>
        <w:tc>
          <w:tcPr>
            <w:tcW w:w="1112" w:type="dxa"/>
          </w:tcPr>
          <w:p w14:paraId="2B1DFCAF" w14:textId="77777777" w:rsidR="00291E5E" w:rsidRPr="00291E5E" w:rsidRDefault="00291E5E" w:rsidP="00B12301">
            <w:pPr>
              <w:pStyle w:val="ARTableText"/>
            </w:pPr>
          </w:p>
        </w:tc>
        <w:tc>
          <w:tcPr>
            <w:tcW w:w="917" w:type="dxa"/>
          </w:tcPr>
          <w:p w14:paraId="38737C7F" w14:textId="77777777" w:rsidR="00291E5E" w:rsidRPr="00291E5E" w:rsidRDefault="00291E5E" w:rsidP="00B12301">
            <w:pPr>
              <w:pStyle w:val="ARTableText"/>
            </w:pPr>
          </w:p>
        </w:tc>
        <w:tc>
          <w:tcPr>
            <w:tcW w:w="894" w:type="dxa"/>
          </w:tcPr>
          <w:p w14:paraId="417BF372" w14:textId="77777777" w:rsidR="00291E5E" w:rsidRPr="00291E5E" w:rsidRDefault="00291E5E" w:rsidP="00B12301">
            <w:pPr>
              <w:pStyle w:val="ARTableText"/>
            </w:pPr>
          </w:p>
        </w:tc>
        <w:tc>
          <w:tcPr>
            <w:tcW w:w="653" w:type="dxa"/>
          </w:tcPr>
          <w:p w14:paraId="4B37380D" w14:textId="77777777" w:rsidR="00291E5E" w:rsidRPr="00291E5E" w:rsidRDefault="00291E5E" w:rsidP="00B12301">
            <w:pPr>
              <w:pStyle w:val="ARTableText"/>
            </w:pPr>
          </w:p>
        </w:tc>
        <w:tc>
          <w:tcPr>
            <w:tcW w:w="1006" w:type="dxa"/>
          </w:tcPr>
          <w:p w14:paraId="206E2A2F" w14:textId="77777777" w:rsidR="00291E5E" w:rsidRPr="00291E5E" w:rsidRDefault="00291E5E" w:rsidP="00B12301">
            <w:pPr>
              <w:pStyle w:val="ARTableText"/>
            </w:pPr>
            <w:r w:rsidRPr="00291E5E">
              <w:t>2</w:t>
            </w:r>
          </w:p>
        </w:tc>
      </w:tr>
      <w:tr w:rsidR="00291E5E" w:rsidRPr="00291E5E" w14:paraId="1990C35C" w14:textId="77777777" w:rsidTr="000E5EC2">
        <w:tc>
          <w:tcPr>
            <w:tcW w:w="1120" w:type="dxa"/>
          </w:tcPr>
          <w:p w14:paraId="035E97BD" w14:textId="77777777" w:rsidR="00291E5E" w:rsidRPr="00291E5E" w:rsidRDefault="00291E5E" w:rsidP="00B12301">
            <w:pPr>
              <w:pStyle w:val="ARTableText"/>
            </w:pPr>
            <w:r w:rsidRPr="00291E5E">
              <w:t>ASIC3</w:t>
            </w:r>
          </w:p>
        </w:tc>
        <w:tc>
          <w:tcPr>
            <w:tcW w:w="1112" w:type="dxa"/>
          </w:tcPr>
          <w:p w14:paraId="5EEFF19E" w14:textId="77777777" w:rsidR="00291E5E" w:rsidRPr="00291E5E" w:rsidRDefault="00291E5E" w:rsidP="00B12301">
            <w:pPr>
              <w:pStyle w:val="ARTableText"/>
            </w:pPr>
            <w:r w:rsidRPr="00291E5E">
              <w:t>1</w:t>
            </w:r>
          </w:p>
        </w:tc>
        <w:tc>
          <w:tcPr>
            <w:tcW w:w="915" w:type="dxa"/>
          </w:tcPr>
          <w:p w14:paraId="361530F0" w14:textId="77777777" w:rsidR="00291E5E" w:rsidRPr="00291E5E" w:rsidRDefault="00291E5E" w:rsidP="00B12301">
            <w:pPr>
              <w:pStyle w:val="ARTableText"/>
            </w:pPr>
          </w:p>
        </w:tc>
        <w:tc>
          <w:tcPr>
            <w:tcW w:w="976" w:type="dxa"/>
          </w:tcPr>
          <w:p w14:paraId="6603284C" w14:textId="77777777" w:rsidR="00291E5E" w:rsidRPr="00291E5E" w:rsidRDefault="00291E5E" w:rsidP="00B12301">
            <w:pPr>
              <w:pStyle w:val="ARTableText"/>
            </w:pPr>
          </w:p>
        </w:tc>
        <w:tc>
          <w:tcPr>
            <w:tcW w:w="917" w:type="dxa"/>
          </w:tcPr>
          <w:p w14:paraId="222DE5E5" w14:textId="77777777" w:rsidR="00291E5E" w:rsidRPr="00291E5E" w:rsidRDefault="00291E5E" w:rsidP="00B12301">
            <w:pPr>
              <w:pStyle w:val="ARTableText"/>
            </w:pPr>
          </w:p>
        </w:tc>
        <w:tc>
          <w:tcPr>
            <w:tcW w:w="1112" w:type="dxa"/>
          </w:tcPr>
          <w:p w14:paraId="55D94673" w14:textId="77777777" w:rsidR="00291E5E" w:rsidRPr="00291E5E" w:rsidRDefault="00291E5E" w:rsidP="00B12301">
            <w:pPr>
              <w:pStyle w:val="ARTableText"/>
            </w:pPr>
          </w:p>
        </w:tc>
        <w:tc>
          <w:tcPr>
            <w:tcW w:w="917" w:type="dxa"/>
          </w:tcPr>
          <w:p w14:paraId="0B7095D4" w14:textId="77777777" w:rsidR="00291E5E" w:rsidRPr="00291E5E" w:rsidRDefault="00291E5E" w:rsidP="00B12301">
            <w:pPr>
              <w:pStyle w:val="ARTableText"/>
            </w:pPr>
          </w:p>
        </w:tc>
        <w:tc>
          <w:tcPr>
            <w:tcW w:w="894" w:type="dxa"/>
          </w:tcPr>
          <w:p w14:paraId="793096A4" w14:textId="77777777" w:rsidR="00291E5E" w:rsidRPr="00291E5E" w:rsidRDefault="00291E5E" w:rsidP="00B12301">
            <w:pPr>
              <w:pStyle w:val="ARTableText"/>
            </w:pPr>
          </w:p>
        </w:tc>
        <w:tc>
          <w:tcPr>
            <w:tcW w:w="653" w:type="dxa"/>
          </w:tcPr>
          <w:p w14:paraId="58100D5C" w14:textId="77777777" w:rsidR="00291E5E" w:rsidRPr="00291E5E" w:rsidRDefault="00291E5E" w:rsidP="00B12301">
            <w:pPr>
              <w:pStyle w:val="ARTableText"/>
            </w:pPr>
          </w:p>
        </w:tc>
        <w:tc>
          <w:tcPr>
            <w:tcW w:w="1006" w:type="dxa"/>
          </w:tcPr>
          <w:p w14:paraId="7ADD5EF4" w14:textId="77777777" w:rsidR="00291E5E" w:rsidRPr="00291E5E" w:rsidRDefault="00291E5E" w:rsidP="00B12301">
            <w:pPr>
              <w:pStyle w:val="ARTableText"/>
            </w:pPr>
            <w:r w:rsidRPr="00291E5E">
              <w:t>1</w:t>
            </w:r>
          </w:p>
        </w:tc>
      </w:tr>
      <w:tr w:rsidR="00291E5E" w:rsidRPr="00291E5E" w14:paraId="78AA4690" w14:textId="77777777" w:rsidTr="000E5EC2">
        <w:tc>
          <w:tcPr>
            <w:tcW w:w="1120" w:type="dxa"/>
          </w:tcPr>
          <w:p w14:paraId="61A358B1" w14:textId="77777777" w:rsidR="00291E5E" w:rsidRPr="00291E5E" w:rsidRDefault="00291E5E" w:rsidP="00B12301">
            <w:pPr>
              <w:pStyle w:val="ARTableText"/>
            </w:pPr>
            <w:r w:rsidRPr="00291E5E">
              <w:t>TOTAL</w:t>
            </w:r>
          </w:p>
        </w:tc>
        <w:tc>
          <w:tcPr>
            <w:tcW w:w="1112" w:type="dxa"/>
          </w:tcPr>
          <w:p w14:paraId="528E67F3" w14:textId="77777777" w:rsidR="00291E5E" w:rsidRPr="00291E5E" w:rsidRDefault="00291E5E" w:rsidP="00B12301">
            <w:pPr>
              <w:pStyle w:val="ARTableText"/>
            </w:pPr>
            <w:r w:rsidRPr="00291E5E">
              <w:t>2</w:t>
            </w:r>
          </w:p>
        </w:tc>
        <w:tc>
          <w:tcPr>
            <w:tcW w:w="915" w:type="dxa"/>
          </w:tcPr>
          <w:p w14:paraId="3C36B376" w14:textId="77777777" w:rsidR="00291E5E" w:rsidRPr="00291E5E" w:rsidRDefault="00291E5E" w:rsidP="00B12301">
            <w:pPr>
              <w:pStyle w:val="ARTableText"/>
            </w:pPr>
            <w:r w:rsidRPr="00291E5E">
              <w:t>2</w:t>
            </w:r>
          </w:p>
        </w:tc>
        <w:tc>
          <w:tcPr>
            <w:tcW w:w="976" w:type="dxa"/>
          </w:tcPr>
          <w:p w14:paraId="198F9C12" w14:textId="77777777" w:rsidR="00291E5E" w:rsidRPr="00291E5E" w:rsidRDefault="00291E5E" w:rsidP="00B12301">
            <w:pPr>
              <w:pStyle w:val="ARTableText"/>
            </w:pPr>
          </w:p>
        </w:tc>
        <w:tc>
          <w:tcPr>
            <w:tcW w:w="917" w:type="dxa"/>
          </w:tcPr>
          <w:p w14:paraId="35632F17" w14:textId="77777777" w:rsidR="00291E5E" w:rsidRPr="00291E5E" w:rsidRDefault="00291E5E" w:rsidP="00B12301">
            <w:pPr>
              <w:pStyle w:val="ARTableText"/>
            </w:pPr>
          </w:p>
        </w:tc>
        <w:tc>
          <w:tcPr>
            <w:tcW w:w="1112" w:type="dxa"/>
          </w:tcPr>
          <w:p w14:paraId="391242F3" w14:textId="77777777" w:rsidR="00291E5E" w:rsidRPr="00291E5E" w:rsidRDefault="00291E5E" w:rsidP="00B12301">
            <w:pPr>
              <w:pStyle w:val="ARTableText"/>
            </w:pPr>
            <w:r w:rsidRPr="00291E5E">
              <w:t>1</w:t>
            </w:r>
          </w:p>
        </w:tc>
        <w:tc>
          <w:tcPr>
            <w:tcW w:w="917" w:type="dxa"/>
          </w:tcPr>
          <w:p w14:paraId="0C9F2398" w14:textId="77777777" w:rsidR="00291E5E" w:rsidRPr="00291E5E" w:rsidRDefault="00291E5E" w:rsidP="00B12301">
            <w:pPr>
              <w:pStyle w:val="ARTableText"/>
            </w:pPr>
            <w:r w:rsidRPr="00291E5E">
              <w:t>1</w:t>
            </w:r>
          </w:p>
        </w:tc>
        <w:tc>
          <w:tcPr>
            <w:tcW w:w="894" w:type="dxa"/>
          </w:tcPr>
          <w:p w14:paraId="5025445A" w14:textId="77777777" w:rsidR="00291E5E" w:rsidRPr="00291E5E" w:rsidRDefault="00291E5E" w:rsidP="00B12301">
            <w:pPr>
              <w:pStyle w:val="ARTableText"/>
            </w:pPr>
          </w:p>
        </w:tc>
        <w:tc>
          <w:tcPr>
            <w:tcW w:w="653" w:type="dxa"/>
          </w:tcPr>
          <w:p w14:paraId="40BC0B22" w14:textId="77777777" w:rsidR="00291E5E" w:rsidRPr="00291E5E" w:rsidRDefault="00291E5E" w:rsidP="00B12301">
            <w:pPr>
              <w:pStyle w:val="ARTableText"/>
            </w:pPr>
          </w:p>
        </w:tc>
        <w:tc>
          <w:tcPr>
            <w:tcW w:w="1006" w:type="dxa"/>
          </w:tcPr>
          <w:p w14:paraId="0903FA69" w14:textId="77777777" w:rsidR="00291E5E" w:rsidRPr="00291E5E" w:rsidRDefault="00291E5E" w:rsidP="00B12301">
            <w:pPr>
              <w:pStyle w:val="ARTableText"/>
            </w:pPr>
            <w:r w:rsidRPr="00291E5E">
              <w:t>6</w:t>
            </w:r>
          </w:p>
        </w:tc>
      </w:tr>
    </w:tbl>
    <w:p w14:paraId="3761F9E6" w14:textId="77777777" w:rsidR="00291E5E" w:rsidRPr="00291E5E" w:rsidRDefault="00291E5E" w:rsidP="00B12301"/>
    <w:p w14:paraId="44BCC27F" w14:textId="77777777" w:rsidR="00291E5E" w:rsidRPr="00291E5E" w:rsidRDefault="00291E5E" w:rsidP="00B12301">
      <w:pPr>
        <w:pStyle w:val="ARTableFigureTitle"/>
      </w:pPr>
      <w:r w:rsidRPr="00291E5E">
        <w:t xml:space="preserve">Table 6.2 Workforce planning, retention and turnover during the reporting period at </w:t>
      </w:r>
      <w:r w:rsidRPr="00291E5E">
        <w:br/>
        <w:t>31 December 2020</w:t>
      </w:r>
    </w:p>
    <w:tbl>
      <w:tblPr>
        <w:tblStyle w:val="TableGrid"/>
        <w:tblW w:w="5000" w:type="pct"/>
        <w:tblLook w:val="04A0" w:firstRow="1" w:lastRow="0" w:firstColumn="1" w:lastColumn="0" w:noHBand="0" w:noVBand="1"/>
      </w:tblPr>
      <w:tblGrid>
        <w:gridCol w:w="1506"/>
        <w:gridCol w:w="1516"/>
        <w:gridCol w:w="1494"/>
        <w:gridCol w:w="1516"/>
        <w:gridCol w:w="1494"/>
        <w:gridCol w:w="1490"/>
      </w:tblGrid>
      <w:tr w:rsidR="00291E5E" w:rsidRPr="00291E5E" w14:paraId="6AB2355F" w14:textId="77777777" w:rsidTr="000E5EC2">
        <w:tc>
          <w:tcPr>
            <w:tcW w:w="1596" w:type="dxa"/>
            <w:vMerge w:val="restart"/>
            <w:shd w:val="clear" w:color="auto" w:fill="0072CE"/>
          </w:tcPr>
          <w:p w14:paraId="187E6917" w14:textId="77777777" w:rsidR="00291E5E" w:rsidRPr="00291E5E" w:rsidRDefault="00291E5E" w:rsidP="00B12301">
            <w:pPr>
              <w:pStyle w:val="ARTableHeader"/>
            </w:pPr>
          </w:p>
        </w:tc>
        <w:tc>
          <w:tcPr>
            <w:tcW w:w="3192" w:type="dxa"/>
            <w:gridSpan w:val="2"/>
            <w:shd w:val="clear" w:color="auto" w:fill="0072CE"/>
          </w:tcPr>
          <w:p w14:paraId="449260DC" w14:textId="77777777" w:rsidR="00291E5E" w:rsidRPr="00291E5E" w:rsidRDefault="00291E5E" w:rsidP="00B12301">
            <w:pPr>
              <w:pStyle w:val="ARTableHeader"/>
            </w:pPr>
            <w:r w:rsidRPr="00291E5E">
              <w:t>PERMANENT</w:t>
            </w:r>
          </w:p>
        </w:tc>
        <w:tc>
          <w:tcPr>
            <w:tcW w:w="3192" w:type="dxa"/>
            <w:gridSpan w:val="2"/>
            <w:shd w:val="clear" w:color="auto" w:fill="0072CE"/>
          </w:tcPr>
          <w:p w14:paraId="3E9AB908" w14:textId="77777777" w:rsidR="00291E5E" w:rsidRPr="00291E5E" w:rsidRDefault="00291E5E" w:rsidP="00B12301">
            <w:pPr>
              <w:pStyle w:val="ARTableHeader"/>
            </w:pPr>
            <w:r w:rsidRPr="00291E5E">
              <w:t>TEMPORARY</w:t>
            </w:r>
          </w:p>
        </w:tc>
        <w:tc>
          <w:tcPr>
            <w:tcW w:w="1596" w:type="dxa"/>
            <w:vMerge w:val="restart"/>
            <w:shd w:val="clear" w:color="auto" w:fill="0072CE"/>
          </w:tcPr>
          <w:p w14:paraId="50B92AF7" w14:textId="77777777" w:rsidR="00291E5E" w:rsidRPr="00291E5E" w:rsidRDefault="00291E5E" w:rsidP="00B12301">
            <w:pPr>
              <w:pStyle w:val="ARTableHeader"/>
            </w:pPr>
            <w:r w:rsidRPr="00291E5E">
              <w:t>Total</w:t>
            </w:r>
          </w:p>
        </w:tc>
      </w:tr>
      <w:tr w:rsidR="00291E5E" w:rsidRPr="00291E5E" w14:paraId="101C6302" w14:textId="77777777" w:rsidTr="000E5EC2">
        <w:tc>
          <w:tcPr>
            <w:tcW w:w="1596" w:type="dxa"/>
            <w:vMerge/>
            <w:shd w:val="clear" w:color="auto" w:fill="0072CE"/>
          </w:tcPr>
          <w:p w14:paraId="51B67014" w14:textId="77777777" w:rsidR="00291E5E" w:rsidRPr="00291E5E" w:rsidRDefault="00291E5E" w:rsidP="00B12301">
            <w:pPr>
              <w:pStyle w:val="ARTableHeader"/>
            </w:pPr>
          </w:p>
        </w:tc>
        <w:tc>
          <w:tcPr>
            <w:tcW w:w="1596" w:type="dxa"/>
            <w:shd w:val="clear" w:color="auto" w:fill="0072CE"/>
          </w:tcPr>
          <w:p w14:paraId="5EF67EB0" w14:textId="77777777" w:rsidR="00291E5E" w:rsidRPr="00291E5E" w:rsidRDefault="00291E5E" w:rsidP="00B12301">
            <w:pPr>
              <w:pStyle w:val="ARTableHeader"/>
            </w:pPr>
            <w:r w:rsidRPr="00291E5E">
              <w:t>Female</w:t>
            </w:r>
          </w:p>
        </w:tc>
        <w:tc>
          <w:tcPr>
            <w:tcW w:w="1596" w:type="dxa"/>
            <w:shd w:val="clear" w:color="auto" w:fill="0072CE"/>
          </w:tcPr>
          <w:p w14:paraId="31671475" w14:textId="77777777" w:rsidR="00291E5E" w:rsidRPr="00291E5E" w:rsidRDefault="00291E5E" w:rsidP="00B12301">
            <w:pPr>
              <w:pStyle w:val="ARTableHeader"/>
            </w:pPr>
            <w:r w:rsidRPr="00291E5E">
              <w:t>Male</w:t>
            </w:r>
          </w:p>
        </w:tc>
        <w:tc>
          <w:tcPr>
            <w:tcW w:w="1596" w:type="dxa"/>
            <w:shd w:val="clear" w:color="auto" w:fill="0072CE"/>
          </w:tcPr>
          <w:p w14:paraId="5A88A345" w14:textId="77777777" w:rsidR="00291E5E" w:rsidRPr="00291E5E" w:rsidRDefault="00291E5E" w:rsidP="00B12301">
            <w:pPr>
              <w:pStyle w:val="ARTableHeader"/>
            </w:pPr>
            <w:r w:rsidRPr="00291E5E">
              <w:t>Female</w:t>
            </w:r>
          </w:p>
        </w:tc>
        <w:tc>
          <w:tcPr>
            <w:tcW w:w="1596" w:type="dxa"/>
            <w:shd w:val="clear" w:color="auto" w:fill="0072CE"/>
          </w:tcPr>
          <w:p w14:paraId="46EC74F1" w14:textId="77777777" w:rsidR="00291E5E" w:rsidRPr="00291E5E" w:rsidRDefault="00291E5E" w:rsidP="00B12301">
            <w:pPr>
              <w:pStyle w:val="ARTableHeader"/>
            </w:pPr>
            <w:r w:rsidRPr="00291E5E">
              <w:t>Male</w:t>
            </w:r>
          </w:p>
        </w:tc>
        <w:tc>
          <w:tcPr>
            <w:tcW w:w="1596" w:type="dxa"/>
            <w:vMerge/>
            <w:shd w:val="clear" w:color="auto" w:fill="0072CE"/>
          </w:tcPr>
          <w:p w14:paraId="784F2A73" w14:textId="77777777" w:rsidR="00291E5E" w:rsidRPr="00291E5E" w:rsidRDefault="00291E5E" w:rsidP="00B12301">
            <w:pPr>
              <w:pStyle w:val="ARTableHeader"/>
            </w:pPr>
          </w:p>
        </w:tc>
      </w:tr>
      <w:tr w:rsidR="00CD2A3C" w:rsidRPr="00291E5E" w14:paraId="14B08BD6" w14:textId="77777777" w:rsidTr="00B369CB">
        <w:tc>
          <w:tcPr>
            <w:tcW w:w="1596" w:type="dxa"/>
            <w:shd w:val="clear" w:color="auto" w:fill="E7E6E6" w:themeFill="background2"/>
          </w:tcPr>
          <w:p w14:paraId="2C0F067D" w14:textId="77777777" w:rsidR="00291E5E" w:rsidRPr="00B369CB" w:rsidRDefault="00291E5E" w:rsidP="00B369CB">
            <w:pPr>
              <w:pStyle w:val="ARTableSubhead"/>
            </w:pPr>
            <w:r w:rsidRPr="00B369CB">
              <w:t>Hires</w:t>
            </w:r>
          </w:p>
        </w:tc>
        <w:tc>
          <w:tcPr>
            <w:tcW w:w="1596" w:type="dxa"/>
            <w:shd w:val="clear" w:color="auto" w:fill="E7E6E6" w:themeFill="background2"/>
          </w:tcPr>
          <w:p w14:paraId="5778BD2E" w14:textId="77777777" w:rsidR="00291E5E" w:rsidRPr="00291E5E" w:rsidRDefault="00291E5E" w:rsidP="00B369CB">
            <w:pPr>
              <w:pStyle w:val="ARTableSubhead"/>
            </w:pPr>
          </w:p>
        </w:tc>
        <w:tc>
          <w:tcPr>
            <w:tcW w:w="1596" w:type="dxa"/>
            <w:shd w:val="clear" w:color="auto" w:fill="E7E6E6" w:themeFill="background2"/>
          </w:tcPr>
          <w:p w14:paraId="4DFE6A66" w14:textId="77777777" w:rsidR="00291E5E" w:rsidRPr="00291E5E" w:rsidRDefault="00291E5E" w:rsidP="00B369CB">
            <w:pPr>
              <w:pStyle w:val="ARTableSubhead"/>
            </w:pPr>
          </w:p>
        </w:tc>
        <w:tc>
          <w:tcPr>
            <w:tcW w:w="1596" w:type="dxa"/>
            <w:shd w:val="clear" w:color="auto" w:fill="E7E6E6" w:themeFill="background2"/>
          </w:tcPr>
          <w:p w14:paraId="344498FB" w14:textId="77777777" w:rsidR="00291E5E" w:rsidRPr="00291E5E" w:rsidRDefault="00291E5E" w:rsidP="00B369CB">
            <w:pPr>
              <w:pStyle w:val="ARTableSubhead"/>
            </w:pPr>
          </w:p>
        </w:tc>
        <w:tc>
          <w:tcPr>
            <w:tcW w:w="1596" w:type="dxa"/>
            <w:shd w:val="clear" w:color="auto" w:fill="E7E6E6" w:themeFill="background2"/>
          </w:tcPr>
          <w:p w14:paraId="46ADAB6D" w14:textId="77777777" w:rsidR="00291E5E" w:rsidRPr="00291E5E" w:rsidRDefault="00291E5E" w:rsidP="00B369CB">
            <w:pPr>
              <w:pStyle w:val="ARTableSubhead"/>
            </w:pPr>
          </w:p>
        </w:tc>
        <w:tc>
          <w:tcPr>
            <w:tcW w:w="1596" w:type="dxa"/>
            <w:shd w:val="clear" w:color="auto" w:fill="E7E6E6" w:themeFill="background2"/>
          </w:tcPr>
          <w:p w14:paraId="0F965110" w14:textId="77777777" w:rsidR="00291E5E" w:rsidRPr="00291E5E" w:rsidRDefault="00291E5E" w:rsidP="00B369CB">
            <w:pPr>
              <w:pStyle w:val="ARTableSubhead"/>
            </w:pPr>
          </w:p>
        </w:tc>
      </w:tr>
      <w:tr w:rsidR="00291E5E" w:rsidRPr="00291E5E" w14:paraId="3DFCA431" w14:textId="77777777" w:rsidTr="000E5EC2">
        <w:tc>
          <w:tcPr>
            <w:tcW w:w="1596" w:type="dxa"/>
            <w:shd w:val="clear" w:color="auto" w:fill="auto"/>
          </w:tcPr>
          <w:p w14:paraId="53F14CFC" w14:textId="77777777" w:rsidR="00291E5E" w:rsidRPr="00291E5E" w:rsidRDefault="00291E5E" w:rsidP="00B12301">
            <w:pPr>
              <w:pStyle w:val="ARTableText"/>
            </w:pPr>
            <w:r w:rsidRPr="00291E5E">
              <w:t>CHAIR</w:t>
            </w:r>
          </w:p>
        </w:tc>
        <w:tc>
          <w:tcPr>
            <w:tcW w:w="1596" w:type="dxa"/>
            <w:shd w:val="clear" w:color="auto" w:fill="auto"/>
          </w:tcPr>
          <w:p w14:paraId="6B233AE2" w14:textId="77777777" w:rsidR="00291E5E" w:rsidRPr="00291E5E" w:rsidRDefault="00291E5E" w:rsidP="00B12301">
            <w:pPr>
              <w:pStyle w:val="ARTableText"/>
            </w:pPr>
          </w:p>
        </w:tc>
        <w:tc>
          <w:tcPr>
            <w:tcW w:w="1596" w:type="dxa"/>
            <w:shd w:val="clear" w:color="auto" w:fill="auto"/>
          </w:tcPr>
          <w:p w14:paraId="4196DA0D" w14:textId="77777777" w:rsidR="00291E5E" w:rsidRPr="00291E5E" w:rsidRDefault="00291E5E" w:rsidP="00B12301">
            <w:pPr>
              <w:pStyle w:val="ARTableText"/>
            </w:pPr>
          </w:p>
        </w:tc>
        <w:tc>
          <w:tcPr>
            <w:tcW w:w="1596" w:type="dxa"/>
            <w:shd w:val="clear" w:color="auto" w:fill="auto"/>
          </w:tcPr>
          <w:p w14:paraId="5337F891" w14:textId="77777777" w:rsidR="00291E5E" w:rsidRPr="00291E5E" w:rsidRDefault="00291E5E" w:rsidP="00B12301">
            <w:pPr>
              <w:pStyle w:val="ARTableText"/>
            </w:pPr>
          </w:p>
        </w:tc>
        <w:tc>
          <w:tcPr>
            <w:tcW w:w="1596" w:type="dxa"/>
            <w:shd w:val="clear" w:color="auto" w:fill="auto"/>
          </w:tcPr>
          <w:p w14:paraId="2547B655" w14:textId="77777777" w:rsidR="00291E5E" w:rsidRPr="00291E5E" w:rsidRDefault="00291E5E" w:rsidP="00B12301">
            <w:pPr>
              <w:pStyle w:val="ARTableText"/>
            </w:pPr>
          </w:p>
        </w:tc>
        <w:tc>
          <w:tcPr>
            <w:tcW w:w="1596" w:type="dxa"/>
            <w:shd w:val="clear" w:color="auto" w:fill="auto"/>
          </w:tcPr>
          <w:p w14:paraId="4B2AA4AF" w14:textId="77777777" w:rsidR="00291E5E" w:rsidRPr="00291E5E" w:rsidRDefault="00291E5E" w:rsidP="00B12301">
            <w:pPr>
              <w:pStyle w:val="ARTableText"/>
            </w:pPr>
          </w:p>
        </w:tc>
      </w:tr>
      <w:tr w:rsidR="00291E5E" w:rsidRPr="00291E5E" w14:paraId="7DFDE39B" w14:textId="77777777" w:rsidTr="000E5EC2">
        <w:tc>
          <w:tcPr>
            <w:tcW w:w="1596" w:type="dxa"/>
          </w:tcPr>
          <w:p w14:paraId="2033C4BE" w14:textId="77777777" w:rsidR="00291E5E" w:rsidRPr="00291E5E" w:rsidRDefault="00291E5E" w:rsidP="00B12301">
            <w:pPr>
              <w:pStyle w:val="ARTableText"/>
            </w:pPr>
            <w:r w:rsidRPr="00291E5E">
              <w:t>EXEC 2</w:t>
            </w:r>
          </w:p>
        </w:tc>
        <w:tc>
          <w:tcPr>
            <w:tcW w:w="1596" w:type="dxa"/>
          </w:tcPr>
          <w:p w14:paraId="7D0F77CC" w14:textId="77777777" w:rsidR="00291E5E" w:rsidRPr="00291E5E" w:rsidRDefault="00291E5E" w:rsidP="00B12301">
            <w:pPr>
              <w:pStyle w:val="ARTableText"/>
            </w:pPr>
          </w:p>
        </w:tc>
        <w:tc>
          <w:tcPr>
            <w:tcW w:w="1596" w:type="dxa"/>
          </w:tcPr>
          <w:p w14:paraId="5573D7F3" w14:textId="77777777" w:rsidR="00291E5E" w:rsidRPr="00291E5E" w:rsidRDefault="00291E5E" w:rsidP="00B12301">
            <w:pPr>
              <w:pStyle w:val="ARTableText"/>
            </w:pPr>
          </w:p>
        </w:tc>
        <w:tc>
          <w:tcPr>
            <w:tcW w:w="1596" w:type="dxa"/>
          </w:tcPr>
          <w:p w14:paraId="58307572" w14:textId="77777777" w:rsidR="00291E5E" w:rsidRPr="00291E5E" w:rsidRDefault="00291E5E" w:rsidP="00B12301">
            <w:pPr>
              <w:pStyle w:val="ARTableText"/>
            </w:pPr>
          </w:p>
        </w:tc>
        <w:tc>
          <w:tcPr>
            <w:tcW w:w="1596" w:type="dxa"/>
          </w:tcPr>
          <w:p w14:paraId="56166D08" w14:textId="77777777" w:rsidR="00291E5E" w:rsidRPr="00291E5E" w:rsidRDefault="00291E5E" w:rsidP="00B12301">
            <w:pPr>
              <w:pStyle w:val="ARTableText"/>
            </w:pPr>
          </w:p>
        </w:tc>
        <w:tc>
          <w:tcPr>
            <w:tcW w:w="1596" w:type="dxa"/>
          </w:tcPr>
          <w:p w14:paraId="3561A4D9" w14:textId="77777777" w:rsidR="00291E5E" w:rsidRPr="00291E5E" w:rsidRDefault="00291E5E" w:rsidP="00B12301">
            <w:pPr>
              <w:pStyle w:val="ARTableText"/>
            </w:pPr>
          </w:p>
        </w:tc>
      </w:tr>
      <w:tr w:rsidR="00291E5E" w:rsidRPr="00291E5E" w14:paraId="48BFA6E1" w14:textId="77777777" w:rsidTr="000E5EC2">
        <w:tc>
          <w:tcPr>
            <w:tcW w:w="1596" w:type="dxa"/>
          </w:tcPr>
          <w:p w14:paraId="1011BC27" w14:textId="77777777" w:rsidR="00291E5E" w:rsidRPr="00291E5E" w:rsidRDefault="00291E5E" w:rsidP="00B12301">
            <w:pPr>
              <w:pStyle w:val="ARTableText"/>
            </w:pPr>
            <w:r w:rsidRPr="00291E5E">
              <w:t>EXEC 1</w:t>
            </w:r>
          </w:p>
        </w:tc>
        <w:tc>
          <w:tcPr>
            <w:tcW w:w="1596" w:type="dxa"/>
          </w:tcPr>
          <w:p w14:paraId="136BEDFA" w14:textId="77777777" w:rsidR="00291E5E" w:rsidRPr="00291E5E" w:rsidRDefault="00291E5E" w:rsidP="00B12301">
            <w:pPr>
              <w:pStyle w:val="ARTableText"/>
            </w:pPr>
          </w:p>
        </w:tc>
        <w:tc>
          <w:tcPr>
            <w:tcW w:w="1596" w:type="dxa"/>
          </w:tcPr>
          <w:p w14:paraId="2E954013" w14:textId="77777777" w:rsidR="00291E5E" w:rsidRPr="00291E5E" w:rsidRDefault="00291E5E" w:rsidP="00B12301">
            <w:pPr>
              <w:pStyle w:val="ARTableText"/>
            </w:pPr>
          </w:p>
        </w:tc>
        <w:tc>
          <w:tcPr>
            <w:tcW w:w="1596" w:type="dxa"/>
          </w:tcPr>
          <w:p w14:paraId="2EC7F1D8" w14:textId="77777777" w:rsidR="00291E5E" w:rsidRPr="00291E5E" w:rsidRDefault="00291E5E" w:rsidP="00B12301">
            <w:pPr>
              <w:pStyle w:val="ARTableText"/>
            </w:pPr>
          </w:p>
        </w:tc>
        <w:tc>
          <w:tcPr>
            <w:tcW w:w="1596" w:type="dxa"/>
          </w:tcPr>
          <w:p w14:paraId="4795B63F" w14:textId="77777777" w:rsidR="00291E5E" w:rsidRPr="00291E5E" w:rsidRDefault="00291E5E" w:rsidP="00B12301">
            <w:pPr>
              <w:pStyle w:val="ARTableText"/>
            </w:pPr>
          </w:p>
        </w:tc>
        <w:tc>
          <w:tcPr>
            <w:tcW w:w="1596" w:type="dxa"/>
          </w:tcPr>
          <w:p w14:paraId="557D735D" w14:textId="77777777" w:rsidR="00291E5E" w:rsidRPr="00291E5E" w:rsidRDefault="00291E5E" w:rsidP="00B12301">
            <w:pPr>
              <w:pStyle w:val="ARTableText"/>
            </w:pPr>
          </w:p>
        </w:tc>
      </w:tr>
      <w:tr w:rsidR="00291E5E" w:rsidRPr="00291E5E" w14:paraId="5E468B36" w14:textId="77777777" w:rsidTr="000E5EC2">
        <w:tc>
          <w:tcPr>
            <w:tcW w:w="1596" w:type="dxa"/>
          </w:tcPr>
          <w:p w14:paraId="7B71D562" w14:textId="77777777" w:rsidR="00291E5E" w:rsidRPr="00291E5E" w:rsidRDefault="00291E5E" w:rsidP="00B12301">
            <w:pPr>
              <w:pStyle w:val="ARTableText"/>
            </w:pPr>
            <w:r w:rsidRPr="00291E5E">
              <w:t>ASIC4</w:t>
            </w:r>
          </w:p>
        </w:tc>
        <w:tc>
          <w:tcPr>
            <w:tcW w:w="1596" w:type="dxa"/>
          </w:tcPr>
          <w:p w14:paraId="59141406" w14:textId="77777777" w:rsidR="00291E5E" w:rsidRPr="00291E5E" w:rsidRDefault="00291E5E" w:rsidP="00B12301">
            <w:pPr>
              <w:pStyle w:val="ARTableText"/>
            </w:pPr>
          </w:p>
        </w:tc>
        <w:tc>
          <w:tcPr>
            <w:tcW w:w="1596" w:type="dxa"/>
          </w:tcPr>
          <w:p w14:paraId="72511B18" w14:textId="77777777" w:rsidR="00291E5E" w:rsidRPr="00291E5E" w:rsidRDefault="00291E5E" w:rsidP="00B12301">
            <w:pPr>
              <w:pStyle w:val="ARTableText"/>
            </w:pPr>
          </w:p>
        </w:tc>
        <w:tc>
          <w:tcPr>
            <w:tcW w:w="1596" w:type="dxa"/>
          </w:tcPr>
          <w:p w14:paraId="2C895DA8" w14:textId="77777777" w:rsidR="00291E5E" w:rsidRPr="00291E5E" w:rsidRDefault="00291E5E" w:rsidP="00B12301">
            <w:pPr>
              <w:pStyle w:val="ARTableText"/>
            </w:pPr>
          </w:p>
        </w:tc>
        <w:tc>
          <w:tcPr>
            <w:tcW w:w="1596" w:type="dxa"/>
          </w:tcPr>
          <w:p w14:paraId="2CDACC46" w14:textId="77777777" w:rsidR="00291E5E" w:rsidRPr="00291E5E" w:rsidRDefault="00291E5E" w:rsidP="00B12301">
            <w:pPr>
              <w:pStyle w:val="ARTableText"/>
            </w:pPr>
          </w:p>
        </w:tc>
        <w:tc>
          <w:tcPr>
            <w:tcW w:w="1596" w:type="dxa"/>
          </w:tcPr>
          <w:p w14:paraId="60DB75E4" w14:textId="77777777" w:rsidR="00291E5E" w:rsidRPr="00291E5E" w:rsidRDefault="00291E5E" w:rsidP="00B12301">
            <w:pPr>
              <w:pStyle w:val="ARTableText"/>
            </w:pPr>
          </w:p>
        </w:tc>
      </w:tr>
      <w:tr w:rsidR="00291E5E" w:rsidRPr="00291E5E" w14:paraId="4400E5BE" w14:textId="77777777" w:rsidTr="000E5EC2">
        <w:tc>
          <w:tcPr>
            <w:tcW w:w="1596" w:type="dxa"/>
          </w:tcPr>
          <w:p w14:paraId="53577939" w14:textId="77777777" w:rsidR="00291E5E" w:rsidRPr="00291E5E" w:rsidRDefault="00291E5E" w:rsidP="00B12301">
            <w:pPr>
              <w:pStyle w:val="ARTableText"/>
            </w:pPr>
            <w:r w:rsidRPr="00291E5E">
              <w:t>ASIC3</w:t>
            </w:r>
          </w:p>
        </w:tc>
        <w:tc>
          <w:tcPr>
            <w:tcW w:w="1596" w:type="dxa"/>
          </w:tcPr>
          <w:p w14:paraId="5DD25B0B" w14:textId="77777777" w:rsidR="00291E5E" w:rsidRPr="00291E5E" w:rsidRDefault="00291E5E" w:rsidP="00B12301">
            <w:pPr>
              <w:pStyle w:val="ARTableText"/>
            </w:pPr>
          </w:p>
        </w:tc>
        <w:tc>
          <w:tcPr>
            <w:tcW w:w="1596" w:type="dxa"/>
          </w:tcPr>
          <w:p w14:paraId="69FB9EF1" w14:textId="77777777" w:rsidR="00291E5E" w:rsidRPr="00291E5E" w:rsidRDefault="00291E5E" w:rsidP="00B12301">
            <w:pPr>
              <w:pStyle w:val="ARTableText"/>
            </w:pPr>
          </w:p>
        </w:tc>
        <w:tc>
          <w:tcPr>
            <w:tcW w:w="1596" w:type="dxa"/>
          </w:tcPr>
          <w:p w14:paraId="750D7D9B" w14:textId="77777777" w:rsidR="00291E5E" w:rsidRPr="00291E5E" w:rsidRDefault="00291E5E" w:rsidP="00B12301">
            <w:pPr>
              <w:pStyle w:val="ARTableText"/>
            </w:pPr>
          </w:p>
        </w:tc>
        <w:tc>
          <w:tcPr>
            <w:tcW w:w="1596" w:type="dxa"/>
          </w:tcPr>
          <w:p w14:paraId="21989F64" w14:textId="77777777" w:rsidR="00291E5E" w:rsidRPr="00291E5E" w:rsidRDefault="00291E5E" w:rsidP="00B12301">
            <w:pPr>
              <w:pStyle w:val="ARTableText"/>
            </w:pPr>
          </w:p>
        </w:tc>
        <w:tc>
          <w:tcPr>
            <w:tcW w:w="1596" w:type="dxa"/>
          </w:tcPr>
          <w:p w14:paraId="7727915F" w14:textId="77777777" w:rsidR="00291E5E" w:rsidRPr="00291E5E" w:rsidRDefault="00291E5E" w:rsidP="00B12301">
            <w:pPr>
              <w:pStyle w:val="ARTableText"/>
            </w:pPr>
          </w:p>
        </w:tc>
      </w:tr>
      <w:tr w:rsidR="00291E5E" w:rsidRPr="00291E5E" w14:paraId="59CF348A" w14:textId="77777777" w:rsidTr="000E5EC2">
        <w:tc>
          <w:tcPr>
            <w:tcW w:w="1596" w:type="dxa"/>
            <w:shd w:val="clear" w:color="auto" w:fill="E7E6E6" w:themeFill="background2"/>
          </w:tcPr>
          <w:p w14:paraId="717A8A27" w14:textId="77777777" w:rsidR="00291E5E" w:rsidRPr="00291E5E" w:rsidRDefault="00291E5E" w:rsidP="00B369CB">
            <w:pPr>
              <w:pStyle w:val="ARTableSubhead"/>
            </w:pPr>
            <w:r w:rsidRPr="00291E5E">
              <w:t>Exits</w:t>
            </w:r>
          </w:p>
        </w:tc>
        <w:tc>
          <w:tcPr>
            <w:tcW w:w="1596" w:type="dxa"/>
            <w:shd w:val="clear" w:color="auto" w:fill="E7E6E6" w:themeFill="background2"/>
          </w:tcPr>
          <w:p w14:paraId="0512FC19" w14:textId="77777777" w:rsidR="00291E5E" w:rsidRPr="00291E5E" w:rsidRDefault="00291E5E" w:rsidP="00B369CB">
            <w:pPr>
              <w:pStyle w:val="ARTableSubhead"/>
            </w:pPr>
          </w:p>
        </w:tc>
        <w:tc>
          <w:tcPr>
            <w:tcW w:w="1596" w:type="dxa"/>
            <w:shd w:val="clear" w:color="auto" w:fill="E7E6E6" w:themeFill="background2"/>
          </w:tcPr>
          <w:p w14:paraId="445DFD5C" w14:textId="77777777" w:rsidR="00291E5E" w:rsidRPr="00291E5E" w:rsidRDefault="00291E5E" w:rsidP="00B369CB">
            <w:pPr>
              <w:pStyle w:val="ARTableSubhead"/>
            </w:pPr>
          </w:p>
        </w:tc>
        <w:tc>
          <w:tcPr>
            <w:tcW w:w="1596" w:type="dxa"/>
            <w:shd w:val="clear" w:color="auto" w:fill="E7E6E6" w:themeFill="background2"/>
          </w:tcPr>
          <w:p w14:paraId="64CD87B0" w14:textId="77777777" w:rsidR="00291E5E" w:rsidRPr="00291E5E" w:rsidRDefault="00291E5E" w:rsidP="00B369CB">
            <w:pPr>
              <w:pStyle w:val="ARTableSubhead"/>
            </w:pPr>
          </w:p>
        </w:tc>
        <w:tc>
          <w:tcPr>
            <w:tcW w:w="1596" w:type="dxa"/>
            <w:shd w:val="clear" w:color="auto" w:fill="E7E6E6" w:themeFill="background2"/>
          </w:tcPr>
          <w:p w14:paraId="3BDB5FE7" w14:textId="77777777" w:rsidR="00291E5E" w:rsidRPr="00291E5E" w:rsidRDefault="00291E5E" w:rsidP="00B369CB">
            <w:pPr>
              <w:pStyle w:val="ARTableSubhead"/>
            </w:pPr>
          </w:p>
        </w:tc>
        <w:tc>
          <w:tcPr>
            <w:tcW w:w="1596" w:type="dxa"/>
            <w:shd w:val="clear" w:color="auto" w:fill="E7E6E6" w:themeFill="background2"/>
          </w:tcPr>
          <w:p w14:paraId="69FAE926" w14:textId="77777777" w:rsidR="00291E5E" w:rsidRPr="00291E5E" w:rsidRDefault="00291E5E" w:rsidP="00B369CB">
            <w:pPr>
              <w:pStyle w:val="ARTableSubhead"/>
            </w:pPr>
          </w:p>
        </w:tc>
      </w:tr>
      <w:tr w:rsidR="00291E5E" w:rsidRPr="00291E5E" w14:paraId="2D420D50" w14:textId="77777777" w:rsidTr="000E5EC2">
        <w:tc>
          <w:tcPr>
            <w:tcW w:w="1596" w:type="dxa"/>
          </w:tcPr>
          <w:p w14:paraId="7D1F74E3" w14:textId="77777777" w:rsidR="00291E5E" w:rsidRPr="00291E5E" w:rsidRDefault="00291E5E" w:rsidP="00B12301">
            <w:pPr>
              <w:pStyle w:val="ARTableText"/>
            </w:pPr>
            <w:r w:rsidRPr="00291E5E">
              <w:t>CHAIR</w:t>
            </w:r>
          </w:p>
        </w:tc>
        <w:tc>
          <w:tcPr>
            <w:tcW w:w="1596" w:type="dxa"/>
          </w:tcPr>
          <w:p w14:paraId="3AD411BD" w14:textId="77777777" w:rsidR="00291E5E" w:rsidRPr="00291E5E" w:rsidRDefault="00291E5E" w:rsidP="00B12301">
            <w:pPr>
              <w:pStyle w:val="ARTableText"/>
            </w:pPr>
          </w:p>
        </w:tc>
        <w:tc>
          <w:tcPr>
            <w:tcW w:w="1596" w:type="dxa"/>
          </w:tcPr>
          <w:p w14:paraId="74B96170" w14:textId="77777777" w:rsidR="00291E5E" w:rsidRPr="00291E5E" w:rsidRDefault="00291E5E" w:rsidP="00B12301">
            <w:pPr>
              <w:pStyle w:val="ARTableText"/>
            </w:pPr>
          </w:p>
        </w:tc>
        <w:tc>
          <w:tcPr>
            <w:tcW w:w="1596" w:type="dxa"/>
          </w:tcPr>
          <w:p w14:paraId="06DC0778" w14:textId="77777777" w:rsidR="00291E5E" w:rsidRPr="00291E5E" w:rsidRDefault="00291E5E" w:rsidP="00B12301">
            <w:pPr>
              <w:pStyle w:val="ARTableText"/>
            </w:pPr>
          </w:p>
        </w:tc>
        <w:tc>
          <w:tcPr>
            <w:tcW w:w="1596" w:type="dxa"/>
          </w:tcPr>
          <w:p w14:paraId="42172AC9" w14:textId="77777777" w:rsidR="00291E5E" w:rsidRPr="00291E5E" w:rsidRDefault="00291E5E" w:rsidP="00B12301">
            <w:pPr>
              <w:pStyle w:val="ARTableText"/>
            </w:pPr>
          </w:p>
        </w:tc>
        <w:tc>
          <w:tcPr>
            <w:tcW w:w="1596" w:type="dxa"/>
          </w:tcPr>
          <w:p w14:paraId="0DD13099" w14:textId="77777777" w:rsidR="00291E5E" w:rsidRPr="00291E5E" w:rsidRDefault="00291E5E" w:rsidP="00B12301">
            <w:pPr>
              <w:pStyle w:val="ARTableText"/>
            </w:pPr>
          </w:p>
        </w:tc>
      </w:tr>
      <w:tr w:rsidR="00291E5E" w:rsidRPr="00291E5E" w14:paraId="2758B83F" w14:textId="77777777" w:rsidTr="000E5EC2">
        <w:tc>
          <w:tcPr>
            <w:tcW w:w="1596" w:type="dxa"/>
          </w:tcPr>
          <w:p w14:paraId="5A058496" w14:textId="77777777" w:rsidR="00291E5E" w:rsidRPr="00291E5E" w:rsidRDefault="00291E5E" w:rsidP="00B12301">
            <w:pPr>
              <w:pStyle w:val="ARTableText"/>
            </w:pPr>
            <w:r w:rsidRPr="00291E5E">
              <w:t>EXEC 2</w:t>
            </w:r>
          </w:p>
        </w:tc>
        <w:tc>
          <w:tcPr>
            <w:tcW w:w="1596" w:type="dxa"/>
          </w:tcPr>
          <w:p w14:paraId="20BC561F" w14:textId="77777777" w:rsidR="00291E5E" w:rsidRPr="00291E5E" w:rsidRDefault="00291E5E" w:rsidP="00B12301">
            <w:pPr>
              <w:pStyle w:val="ARTableText"/>
            </w:pPr>
            <w:r w:rsidRPr="00291E5E">
              <w:t>2</w:t>
            </w:r>
          </w:p>
        </w:tc>
        <w:tc>
          <w:tcPr>
            <w:tcW w:w="1596" w:type="dxa"/>
          </w:tcPr>
          <w:p w14:paraId="74409EC0" w14:textId="77777777" w:rsidR="00291E5E" w:rsidRPr="00291E5E" w:rsidRDefault="00291E5E" w:rsidP="00B12301">
            <w:pPr>
              <w:pStyle w:val="ARTableText"/>
            </w:pPr>
          </w:p>
        </w:tc>
        <w:tc>
          <w:tcPr>
            <w:tcW w:w="1596" w:type="dxa"/>
          </w:tcPr>
          <w:p w14:paraId="6E17347E" w14:textId="77777777" w:rsidR="00291E5E" w:rsidRPr="00291E5E" w:rsidRDefault="00291E5E" w:rsidP="00B12301">
            <w:pPr>
              <w:pStyle w:val="ARTableText"/>
            </w:pPr>
          </w:p>
        </w:tc>
        <w:tc>
          <w:tcPr>
            <w:tcW w:w="1596" w:type="dxa"/>
          </w:tcPr>
          <w:p w14:paraId="0B45B2A6" w14:textId="77777777" w:rsidR="00291E5E" w:rsidRPr="00291E5E" w:rsidRDefault="00291E5E" w:rsidP="00B12301">
            <w:pPr>
              <w:pStyle w:val="ARTableText"/>
            </w:pPr>
          </w:p>
        </w:tc>
        <w:tc>
          <w:tcPr>
            <w:tcW w:w="1596" w:type="dxa"/>
          </w:tcPr>
          <w:p w14:paraId="0BE33AF0" w14:textId="77777777" w:rsidR="00291E5E" w:rsidRPr="00291E5E" w:rsidRDefault="00291E5E" w:rsidP="00B12301">
            <w:pPr>
              <w:pStyle w:val="ARTableText"/>
            </w:pPr>
            <w:r w:rsidRPr="00291E5E">
              <w:t>2</w:t>
            </w:r>
          </w:p>
        </w:tc>
      </w:tr>
      <w:tr w:rsidR="00291E5E" w:rsidRPr="00291E5E" w14:paraId="38D342E4" w14:textId="77777777" w:rsidTr="000E5EC2">
        <w:tc>
          <w:tcPr>
            <w:tcW w:w="1596" w:type="dxa"/>
          </w:tcPr>
          <w:p w14:paraId="11A0FF10" w14:textId="77777777" w:rsidR="00291E5E" w:rsidRPr="00291E5E" w:rsidRDefault="00291E5E" w:rsidP="00B12301">
            <w:pPr>
              <w:pStyle w:val="ARTableText"/>
            </w:pPr>
            <w:r w:rsidRPr="00291E5E">
              <w:t>EXEC 1</w:t>
            </w:r>
          </w:p>
        </w:tc>
        <w:tc>
          <w:tcPr>
            <w:tcW w:w="1596" w:type="dxa"/>
          </w:tcPr>
          <w:p w14:paraId="6865C8CD" w14:textId="77777777" w:rsidR="00291E5E" w:rsidRPr="00291E5E" w:rsidRDefault="00291E5E" w:rsidP="00B12301">
            <w:pPr>
              <w:pStyle w:val="ARTableText"/>
            </w:pPr>
            <w:r w:rsidRPr="00291E5E">
              <w:t>2</w:t>
            </w:r>
          </w:p>
        </w:tc>
        <w:tc>
          <w:tcPr>
            <w:tcW w:w="1596" w:type="dxa"/>
          </w:tcPr>
          <w:p w14:paraId="23D53EF6" w14:textId="77777777" w:rsidR="00291E5E" w:rsidRPr="00291E5E" w:rsidRDefault="00291E5E" w:rsidP="00B12301">
            <w:pPr>
              <w:pStyle w:val="ARTableText"/>
            </w:pPr>
            <w:r w:rsidRPr="00291E5E">
              <w:t>4</w:t>
            </w:r>
          </w:p>
        </w:tc>
        <w:tc>
          <w:tcPr>
            <w:tcW w:w="1596" w:type="dxa"/>
          </w:tcPr>
          <w:p w14:paraId="46DD18B7" w14:textId="77777777" w:rsidR="00291E5E" w:rsidRPr="00291E5E" w:rsidRDefault="00291E5E" w:rsidP="00B12301">
            <w:pPr>
              <w:pStyle w:val="ARTableText"/>
            </w:pPr>
          </w:p>
        </w:tc>
        <w:tc>
          <w:tcPr>
            <w:tcW w:w="1596" w:type="dxa"/>
          </w:tcPr>
          <w:p w14:paraId="2B0A0AE9" w14:textId="77777777" w:rsidR="00291E5E" w:rsidRPr="00291E5E" w:rsidRDefault="00291E5E" w:rsidP="00B12301">
            <w:pPr>
              <w:pStyle w:val="ARTableText"/>
            </w:pPr>
          </w:p>
        </w:tc>
        <w:tc>
          <w:tcPr>
            <w:tcW w:w="1596" w:type="dxa"/>
          </w:tcPr>
          <w:p w14:paraId="3B514BBC" w14:textId="77777777" w:rsidR="00291E5E" w:rsidRPr="00291E5E" w:rsidRDefault="00291E5E" w:rsidP="00B12301">
            <w:pPr>
              <w:pStyle w:val="ARTableText"/>
            </w:pPr>
            <w:r w:rsidRPr="00291E5E">
              <w:t>6</w:t>
            </w:r>
          </w:p>
        </w:tc>
      </w:tr>
      <w:tr w:rsidR="00291E5E" w:rsidRPr="00291E5E" w14:paraId="16446296" w14:textId="77777777" w:rsidTr="000E5EC2">
        <w:tc>
          <w:tcPr>
            <w:tcW w:w="1596" w:type="dxa"/>
          </w:tcPr>
          <w:p w14:paraId="1BB9E545" w14:textId="77777777" w:rsidR="00291E5E" w:rsidRPr="00291E5E" w:rsidRDefault="00291E5E" w:rsidP="00B12301">
            <w:pPr>
              <w:pStyle w:val="ARTableText"/>
            </w:pPr>
            <w:r w:rsidRPr="00291E5E">
              <w:t>ASIC4</w:t>
            </w:r>
          </w:p>
        </w:tc>
        <w:tc>
          <w:tcPr>
            <w:tcW w:w="1596" w:type="dxa"/>
          </w:tcPr>
          <w:p w14:paraId="459D43A2" w14:textId="77777777" w:rsidR="00291E5E" w:rsidRPr="00291E5E" w:rsidRDefault="00291E5E" w:rsidP="00B12301">
            <w:pPr>
              <w:pStyle w:val="ARTableText"/>
            </w:pPr>
            <w:r w:rsidRPr="00291E5E">
              <w:t>5</w:t>
            </w:r>
          </w:p>
        </w:tc>
        <w:tc>
          <w:tcPr>
            <w:tcW w:w="1596" w:type="dxa"/>
          </w:tcPr>
          <w:p w14:paraId="3D388734" w14:textId="77777777" w:rsidR="00291E5E" w:rsidRPr="00291E5E" w:rsidRDefault="00291E5E" w:rsidP="00B12301">
            <w:pPr>
              <w:pStyle w:val="ARTableText"/>
            </w:pPr>
            <w:r w:rsidRPr="00291E5E">
              <w:t>2</w:t>
            </w:r>
          </w:p>
        </w:tc>
        <w:tc>
          <w:tcPr>
            <w:tcW w:w="1596" w:type="dxa"/>
          </w:tcPr>
          <w:p w14:paraId="3CA79834" w14:textId="77777777" w:rsidR="00291E5E" w:rsidRPr="00291E5E" w:rsidRDefault="00291E5E" w:rsidP="00B12301">
            <w:pPr>
              <w:pStyle w:val="ARTableText"/>
            </w:pPr>
            <w:r w:rsidRPr="00291E5E">
              <w:t>2</w:t>
            </w:r>
          </w:p>
        </w:tc>
        <w:tc>
          <w:tcPr>
            <w:tcW w:w="1596" w:type="dxa"/>
          </w:tcPr>
          <w:p w14:paraId="0486D338" w14:textId="77777777" w:rsidR="00291E5E" w:rsidRPr="00291E5E" w:rsidRDefault="00291E5E" w:rsidP="00B12301">
            <w:pPr>
              <w:pStyle w:val="ARTableText"/>
            </w:pPr>
            <w:r w:rsidRPr="00291E5E">
              <w:t>2</w:t>
            </w:r>
          </w:p>
        </w:tc>
        <w:tc>
          <w:tcPr>
            <w:tcW w:w="1596" w:type="dxa"/>
          </w:tcPr>
          <w:p w14:paraId="4361B408" w14:textId="77777777" w:rsidR="00291E5E" w:rsidRPr="00291E5E" w:rsidRDefault="00291E5E" w:rsidP="00B12301">
            <w:pPr>
              <w:pStyle w:val="ARTableText"/>
            </w:pPr>
            <w:r w:rsidRPr="00291E5E">
              <w:t>11</w:t>
            </w:r>
          </w:p>
        </w:tc>
      </w:tr>
      <w:tr w:rsidR="00291E5E" w:rsidRPr="00291E5E" w14:paraId="5845B39B" w14:textId="77777777" w:rsidTr="000E5EC2">
        <w:tc>
          <w:tcPr>
            <w:tcW w:w="1596" w:type="dxa"/>
          </w:tcPr>
          <w:p w14:paraId="5886D980" w14:textId="77777777" w:rsidR="00291E5E" w:rsidRPr="00291E5E" w:rsidRDefault="00291E5E" w:rsidP="00B12301">
            <w:pPr>
              <w:pStyle w:val="ARTableText"/>
            </w:pPr>
            <w:r w:rsidRPr="00291E5E">
              <w:t>ASIC3</w:t>
            </w:r>
          </w:p>
        </w:tc>
        <w:tc>
          <w:tcPr>
            <w:tcW w:w="1596" w:type="dxa"/>
          </w:tcPr>
          <w:p w14:paraId="4852E881" w14:textId="77777777" w:rsidR="00291E5E" w:rsidRPr="00291E5E" w:rsidRDefault="00291E5E" w:rsidP="00B12301">
            <w:pPr>
              <w:pStyle w:val="ARTableText"/>
            </w:pPr>
            <w:r w:rsidRPr="00291E5E">
              <w:t>2</w:t>
            </w:r>
          </w:p>
        </w:tc>
        <w:tc>
          <w:tcPr>
            <w:tcW w:w="1596" w:type="dxa"/>
          </w:tcPr>
          <w:p w14:paraId="2FAE7102" w14:textId="77777777" w:rsidR="00291E5E" w:rsidRPr="00291E5E" w:rsidRDefault="00291E5E" w:rsidP="00B12301">
            <w:pPr>
              <w:pStyle w:val="ARTableText"/>
            </w:pPr>
          </w:p>
        </w:tc>
        <w:tc>
          <w:tcPr>
            <w:tcW w:w="1596" w:type="dxa"/>
          </w:tcPr>
          <w:p w14:paraId="523232E4" w14:textId="77777777" w:rsidR="00291E5E" w:rsidRPr="00291E5E" w:rsidRDefault="00291E5E" w:rsidP="00B12301">
            <w:pPr>
              <w:pStyle w:val="ARTableText"/>
            </w:pPr>
            <w:r w:rsidRPr="00291E5E">
              <w:t>1</w:t>
            </w:r>
          </w:p>
        </w:tc>
        <w:tc>
          <w:tcPr>
            <w:tcW w:w="1596" w:type="dxa"/>
          </w:tcPr>
          <w:p w14:paraId="6AD73482" w14:textId="77777777" w:rsidR="00291E5E" w:rsidRPr="00291E5E" w:rsidRDefault="00291E5E" w:rsidP="00B12301">
            <w:pPr>
              <w:pStyle w:val="ARTableText"/>
            </w:pPr>
          </w:p>
        </w:tc>
        <w:tc>
          <w:tcPr>
            <w:tcW w:w="1596" w:type="dxa"/>
          </w:tcPr>
          <w:p w14:paraId="5D065DB4" w14:textId="77777777" w:rsidR="00291E5E" w:rsidRPr="00291E5E" w:rsidRDefault="00291E5E" w:rsidP="00B12301">
            <w:pPr>
              <w:pStyle w:val="ARTableText"/>
            </w:pPr>
            <w:r w:rsidRPr="00291E5E">
              <w:t>3</w:t>
            </w:r>
          </w:p>
        </w:tc>
      </w:tr>
    </w:tbl>
    <w:p w14:paraId="05082CC2" w14:textId="734D6175" w:rsidR="00291E5E" w:rsidRPr="00CE2C01" w:rsidRDefault="00291E5E" w:rsidP="000E5EC2">
      <w:pPr>
        <w:pStyle w:val="ARNote"/>
      </w:pPr>
      <w:r w:rsidRPr="00CE2C01">
        <w:t xml:space="preserve">* </w:t>
      </w:r>
      <w:r w:rsidR="000E5EC2">
        <w:tab/>
      </w:r>
      <w:r w:rsidRPr="00CE2C01">
        <w:t>Secondments and transfers to and from ASIC are not included in this table.</w:t>
      </w:r>
    </w:p>
    <w:p w14:paraId="25A9D416" w14:textId="77777777" w:rsidR="00291E5E" w:rsidRPr="00291E5E" w:rsidRDefault="00291E5E" w:rsidP="00B12301"/>
    <w:p w14:paraId="73EB12FD" w14:textId="77777777" w:rsidR="00291E5E" w:rsidRPr="00291E5E" w:rsidRDefault="00291E5E" w:rsidP="00B12301">
      <w:pPr>
        <w:rPr>
          <w:szCs w:val="20"/>
        </w:rPr>
      </w:pPr>
      <w:r w:rsidRPr="00291E5E">
        <w:br w:type="page"/>
      </w:r>
    </w:p>
    <w:p w14:paraId="1C447683" w14:textId="77777777" w:rsidR="00291E5E" w:rsidRPr="00291E5E" w:rsidRDefault="00291E5E" w:rsidP="00B12301">
      <w:pPr>
        <w:pStyle w:val="ARTableFigureTitle"/>
      </w:pPr>
      <w:r w:rsidRPr="00291E5E">
        <w:lastRenderedPageBreak/>
        <w:t>Table 6.3 Salary range by classification 2020–21</w:t>
      </w:r>
    </w:p>
    <w:tbl>
      <w:tblPr>
        <w:tblStyle w:val="TableGrid"/>
        <w:tblW w:w="5000" w:type="pct"/>
        <w:tblLook w:val="04A0" w:firstRow="1" w:lastRow="0" w:firstColumn="1" w:lastColumn="0" w:noHBand="0" w:noVBand="1"/>
      </w:tblPr>
      <w:tblGrid>
        <w:gridCol w:w="3085"/>
        <w:gridCol w:w="3085"/>
        <w:gridCol w:w="2846"/>
      </w:tblGrid>
      <w:tr w:rsidR="00291E5E" w:rsidRPr="00291E5E" w14:paraId="60760162" w14:textId="77777777" w:rsidTr="000E5EC2">
        <w:trPr>
          <w:trHeight w:val="421"/>
        </w:trPr>
        <w:tc>
          <w:tcPr>
            <w:tcW w:w="2472" w:type="dxa"/>
            <w:shd w:val="clear" w:color="auto" w:fill="0072CE"/>
            <w:vAlign w:val="center"/>
          </w:tcPr>
          <w:p w14:paraId="09834A26" w14:textId="77777777" w:rsidR="00291E5E" w:rsidRPr="00291E5E" w:rsidRDefault="00291E5E" w:rsidP="00B12301">
            <w:pPr>
              <w:pStyle w:val="ARTableHeader"/>
            </w:pPr>
            <w:r w:rsidRPr="00291E5E">
              <w:t>Grade</w:t>
            </w:r>
          </w:p>
        </w:tc>
        <w:tc>
          <w:tcPr>
            <w:tcW w:w="2472" w:type="dxa"/>
            <w:shd w:val="clear" w:color="auto" w:fill="0072CE"/>
            <w:vAlign w:val="center"/>
          </w:tcPr>
          <w:p w14:paraId="0CC03D05" w14:textId="77777777" w:rsidR="00291E5E" w:rsidRPr="00291E5E" w:rsidRDefault="00291E5E" w:rsidP="00B12301">
            <w:pPr>
              <w:pStyle w:val="ARTableHeader"/>
            </w:pPr>
            <w:r w:rsidRPr="00291E5E">
              <w:t>Minimum</w:t>
            </w:r>
          </w:p>
        </w:tc>
        <w:tc>
          <w:tcPr>
            <w:tcW w:w="2281" w:type="dxa"/>
            <w:shd w:val="clear" w:color="auto" w:fill="0072CE"/>
            <w:vAlign w:val="center"/>
          </w:tcPr>
          <w:p w14:paraId="45F1988C" w14:textId="77777777" w:rsidR="00291E5E" w:rsidRPr="00291E5E" w:rsidRDefault="00291E5E" w:rsidP="00B12301">
            <w:pPr>
              <w:pStyle w:val="ARTableHeader"/>
            </w:pPr>
            <w:r w:rsidRPr="00291E5E">
              <w:t>Maximum</w:t>
            </w:r>
          </w:p>
        </w:tc>
      </w:tr>
      <w:tr w:rsidR="00291E5E" w:rsidRPr="00291E5E" w14:paraId="2ED1A91E" w14:textId="77777777" w:rsidTr="000E5EC2">
        <w:trPr>
          <w:trHeight w:val="421"/>
        </w:trPr>
        <w:tc>
          <w:tcPr>
            <w:tcW w:w="2472" w:type="dxa"/>
            <w:vAlign w:val="center"/>
          </w:tcPr>
          <w:p w14:paraId="2A1FF43B" w14:textId="77777777" w:rsidR="00291E5E" w:rsidRPr="00291E5E" w:rsidRDefault="00291E5E" w:rsidP="00B12301">
            <w:pPr>
              <w:pStyle w:val="ARTableText"/>
            </w:pPr>
            <w:r w:rsidRPr="00291E5E">
              <w:t>ASIC 3</w:t>
            </w:r>
          </w:p>
        </w:tc>
        <w:tc>
          <w:tcPr>
            <w:tcW w:w="2472" w:type="dxa"/>
            <w:vAlign w:val="center"/>
          </w:tcPr>
          <w:p w14:paraId="26E936EE" w14:textId="77777777" w:rsidR="00291E5E" w:rsidRPr="00291E5E" w:rsidRDefault="00291E5E" w:rsidP="00B12301">
            <w:pPr>
              <w:pStyle w:val="ARTableText"/>
            </w:pPr>
            <w:r w:rsidRPr="00291E5E">
              <w:t>$69,409</w:t>
            </w:r>
          </w:p>
        </w:tc>
        <w:tc>
          <w:tcPr>
            <w:tcW w:w="2281" w:type="dxa"/>
            <w:vAlign w:val="center"/>
          </w:tcPr>
          <w:p w14:paraId="5BED047A" w14:textId="77777777" w:rsidR="00291E5E" w:rsidRPr="00291E5E" w:rsidRDefault="00291E5E" w:rsidP="00B12301">
            <w:pPr>
              <w:pStyle w:val="ARTableText"/>
            </w:pPr>
            <w:r w:rsidRPr="00291E5E">
              <w:t>$79,562</w:t>
            </w:r>
          </w:p>
        </w:tc>
      </w:tr>
      <w:tr w:rsidR="00291E5E" w:rsidRPr="00291E5E" w14:paraId="6B6F3D86" w14:textId="77777777" w:rsidTr="000E5EC2">
        <w:trPr>
          <w:trHeight w:val="421"/>
        </w:trPr>
        <w:tc>
          <w:tcPr>
            <w:tcW w:w="2472" w:type="dxa"/>
            <w:vAlign w:val="center"/>
          </w:tcPr>
          <w:p w14:paraId="3C51B3D9" w14:textId="77777777" w:rsidR="00291E5E" w:rsidRPr="00291E5E" w:rsidRDefault="00291E5E" w:rsidP="00B12301">
            <w:pPr>
              <w:pStyle w:val="ARTableText"/>
            </w:pPr>
            <w:r w:rsidRPr="00291E5E">
              <w:t>ASIC 4</w:t>
            </w:r>
          </w:p>
        </w:tc>
        <w:tc>
          <w:tcPr>
            <w:tcW w:w="2472" w:type="dxa"/>
            <w:vAlign w:val="center"/>
          </w:tcPr>
          <w:p w14:paraId="256D5E68" w14:textId="77777777" w:rsidR="00291E5E" w:rsidRPr="00291E5E" w:rsidRDefault="00291E5E" w:rsidP="00B12301">
            <w:pPr>
              <w:pStyle w:val="ARTableText"/>
            </w:pPr>
            <w:r w:rsidRPr="00291E5E">
              <w:t>$83,056</w:t>
            </w:r>
          </w:p>
        </w:tc>
        <w:tc>
          <w:tcPr>
            <w:tcW w:w="2281" w:type="dxa"/>
            <w:vAlign w:val="center"/>
          </w:tcPr>
          <w:p w14:paraId="6FCB75B3" w14:textId="77777777" w:rsidR="00291E5E" w:rsidRPr="00291E5E" w:rsidRDefault="00291E5E" w:rsidP="00B12301">
            <w:pPr>
              <w:pStyle w:val="ARTableText"/>
            </w:pPr>
            <w:r w:rsidRPr="00291E5E">
              <w:t>$93,093</w:t>
            </w:r>
          </w:p>
        </w:tc>
      </w:tr>
      <w:tr w:rsidR="00291E5E" w:rsidRPr="00291E5E" w14:paraId="63E350F3" w14:textId="77777777" w:rsidTr="000E5EC2">
        <w:trPr>
          <w:trHeight w:val="448"/>
        </w:trPr>
        <w:tc>
          <w:tcPr>
            <w:tcW w:w="2472" w:type="dxa"/>
            <w:vAlign w:val="center"/>
          </w:tcPr>
          <w:p w14:paraId="2598344B" w14:textId="77777777" w:rsidR="00291E5E" w:rsidRPr="00291E5E" w:rsidRDefault="00291E5E" w:rsidP="00B12301">
            <w:pPr>
              <w:pStyle w:val="ARTableText"/>
            </w:pPr>
            <w:r w:rsidRPr="00291E5E">
              <w:t>Executive Level 1</w:t>
            </w:r>
          </w:p>
        </w:tc>
        <w:tc>
          <w:tcPr>
            <w:tcW w:w="2472" w:type="dxa"/>
            <w:vAlign w:val="center"/>
          </w:tcPr>
          <w:p w14:paraId="5B1AE967" w14:textId="77777777" w:rsidR="00291E5E" w:rsidRPr="00291E5E" w:rsidRDefault="00291E5E" w:rsidP="00B12301">
            <w:pPr>
              <w:pStyle w:val="ARTableText"/>
            </w:pPr>
            <w:r w:rsidRPr="00291E5E">
              <w:t>$108,843</w:t>
            </w:r>
          </w:p>
        </w:tc>
        <w:tc>
          <w:tcPr>
            <w:tcW w:w="2281" w:type="dxa"/>
            <w:vAlign w:val="center"/>
          </w:tcPr>
          <w:p w14:paraId="3278EB30" w14:textId="77777777" w:rsidR="00291E5E" w:rsidRPr="00291E5E" w:rsidRDefault="00291E5E" w:rsidP="00B12301">
            <w:pPr>
              <w:pStyle w:val="ARTableText"/>
            </w:pPr>
            <w:r w:rsidRPr="00291E5E">
              <w:t>$125,901</w:t>
            </w:r>
          </w:p>
        </w:tc>
      </w:tr>
      <w:tr w:rsidR="00291E5E" w:rsidRPr="00291E5E" w14:paraId="00C448F2" w14:textId="77777777" w:rsidTr="000E5EC2">
        <w:trPr>
          <w:trHeight w:val="392"/>
        </w:trPr>
        <w:tc>
          <w:tcPr>
            <w:tcW w:w="2472" w:type="dxa"/>
            <w:vAlign w:val="center"/>
          </w:tcPr>
          <w:p w14:paraId="22A5632E" w14:textId="77777777" w:rsidR="00291E5E" w:rsidRPr="00291E5E" w:rsidRDefault="00291E5E" w:rsidP="00B12301">
            <w:pPr>
              <w:pStyle w:val="ARTableText"/>
            </w:pPr>
            <w:r w:rsidRPr="00291E5E">
              <w:t>Executive Level 2</w:t>
            </w:r>
          </w:p>
        </w:tc>
        <w:tc>
          <w:tcPr>
            <w:tcW w:w="2472" w:type="dxa"/>
            <w:vAlign w:val="center"/>
          </w:tcPr>
          <w:p w14:paraId="3DDA9A94" w14:textId="77777777" w:rsidR="00291E5E" w:rsidRPr="00291E5E" w:rsidRDefault="00291E5E" w:rsidP="00B12301">
            <w:pPr>
              <w:pStyle w:val="ARTableText"/>
            </w:pPr>
            <w:r w:rsidRPr="00291E5E">
              <w:t>$123,301</w:t>
            </w:r>
          </w:p>
        </w:tc>
        <w:tc>
          <w:tcPr>
            <w:tcW w:w="2281" w:type="dxa"/>
            <w:vAlign w:val="center"/>
          </w:tcPr>
          <w:p w14:paraId="0668E275" w14:textId="77777777" w:rsidR="00291E5E" w:rsidRPr="00291E5E" w:rsidRDefault="00291E5E" w:rsidP="00B12301">
            <w:pPr>
              <w:pStyle w:val="ARTableText"/>
            </w:pPr>
            <w:r w:rsidRPr="00291E5E">
              <w:t>$172,775</w:t>
            </w:r>
          </w:p>
        </w:tc>
      </w:tr>
    </w:tbl>
    <w:p w14:paraId="052F265D" w14:textId="57A97CC7" w:rsidR="00291E5E" w:rsidRPr="00291E5E" w:rsidRDefault="00291E5E" w:rsidP="00B12301"/>
    <w:p w14:paraId="7CDF64F8" w14:textId="77777777" w:rsidR="00291E5E" w:rsidRPr="00291E5E" w:rsidRDefault="00291E5E" w:rsidP="00B12301">
      <w:pPr>
        <w:pStyle w:val="ARTableFigureTitle"/>
      </w:pPr>
      <w:r w:rsidRPr="00291E5E">
        <w:t xml:space="preserve">Table 6.4 Performance pay by classification 2020–21 </w:t>
      </w:r>
    </w:p>
    <w:tbl>
      <w:tblPr>
        <w:tblStyle w:val="TableGrid"/>
        <w:tblW w:w="5000" w:type="pct"/>
        <w:tblLook w:val="04A0" w:firstRow="1" w:lastRow="0" w:firstColumn="1" w:lastColumn="0" w:noHBand="0" w:noVBand="1"/>
      </w:tblPr>
      <w:tblGrid>
        <w:gridCol w:w="1502"/>
        <w:gridCol w:w="1502"/>
        <w:gridCol w:w="1503"/>
        <w:gridCol w:w="1503"/>
        <w:gridCol w:w="1503"/>
        <w:gridCol w:w="1503"/>
      </w:tblGrid>
      <w:tr w:rsidR="00291E5E" w:rsidRPr="00291E5E" w14:paraId="1E8D3E33" w14:textId="77777777" w:rsidTr="000E5EC2">
        <w:trPr>
          <w:trHeight w:val="525"/>
        </w:trPr>
        <w:tc>
          <w:tcPr>
            <w:tcW w:w="1502" w:type="dxa"/>
            <w:shd w:val="clear" w:color="auto" w:fill="0072CE"/>
            <w:noWrap/>
            <w:hideMark/>
          </w:tcPr>
          <w:p w14:paraId="213189B8" w14:textId="77777777" w:rsidR="00291E5E" w:rsidRPr="00291E5E" w:rsidRDefault="00291E5E" w:rsidP="00B12301">
            <w:pPr>
              <w:pStyle w:val="ARTableHeader"/>
              <w:rPr>
                <w:rFonts w:ascii="Calibri" w:hAnsi="Calibri"/>
                <w:lang w:eastAsia="en-AU"/>
              </w:rPr>
            </w:pPr>
            <w:r w:rsidRPr="00291E5E">
              <w:rPr>
                <w:lang w:eastAsia="en-AU"/>
              </w:rPr>
              <w:t>Classification</w:t>
            </w:r>
          </w:p>
        </w:tc>
        <w:tc>
          <w:tcPr>
            <w:tcW w:w="1502" w:type="dxa"/>
            <w:shd w:val="clear" w:color="auto" w:fill="0072CE"/>
            <w:hideMark/>
          </w:tcPr>
          <w:p w14:paraId="047D2998" w14:textId="77777777" w:rsidR="00291E5E" w:rsidRPr="00291E5E" w:rsidRDefault="00291E5E" w:rsidP="00B12301">
            <w:pPr>
              <w:pStyle w:val="ARTableHeader"/>
              <w:rPr>
                <w:lang w:eastAsia="en-AU"/>
              </w:rPr>
            </w:pPr>
            <w:r w:rsidRPr="00291E5E">
              <w:rPr>
                <w:lang w:eastAsia="en-AU"/>
              </w:rPr>
              <w:t>No of Recipients</w:t>
            </w:r>
          </w:p>
        </w:tc>
        <w:tc>
          <w:tcPr>
            <w:tcW w:w="1503" w:type="dxa"/>
            <w:shd w:val="clear" w:color="auto" w:fill="0072CE"/>
            <w:noWrap/>
            <w:hideMark/>
          </w:tcPr>
          <w:p w14:paraId="50B16636" w14:textId="77777777" w:rsidR="00291E5E" w:rsidRPr="00291E5E" w:rsidRDefault="00291E5E" w:rsidP="00B12301">
            <w:pPr>
              <w:pStyle w:val="ARTableHeader"/>
              <w:rPr>
                <w:lang w:eastAsia="en-AU"/>
              </w:rPr>
            </w:pPr>
            <w:r w:rsidRPr="00291E5E">
              <w:rPr>
                <w:lang w:eastAsia="en-AU"/>
              </w:rPr>
              <w:t>Aggregate</w:t>
            </w:r>
          </w:p>
        </w:tc>
        <w:tc>
          <w:tcPr>
            <w:tcW w:w="1503" w:type="dxa"/>
            <w:shd w:val="clear" w:color="auto" w:fill="0072CE"/>
            <w:noWrap/>
            <w:hideMark/>
          </w:tcPr>
          <w:p w14:paraId="40AB1616" w14:textId="77777777" w:rsidR="00291E5E" w:rsidRPr="00291E5E" w:rsidRDefault="00291E5E" w:rsidP="00B12301">
            <w:pPr>
              <w:pStyle w:val="ARTableHeader"/>
              <w:rPr>
                <w:lang w:eastAsia="en-AU"/>
              </w:rPr>
            </w:pPr>
            <w:r w:rsidRPr="00291E5E">
              <w:rPr>
                <w:lang w:eastAsia="en-AU"/>
              </w:rPr>
              <w:t>Minimum</w:t>
            </w:r>
          </w:p>
        </w:tc>
        <w:tc>
          <w:tcPr>
            <w:tcW w:w="1503" w:type="dxa"/>
            <w:shd w:val="clear" w:color="auto" w:fill="0072CE"/>
            <w:noWrap/>
            <w:hideMark/>
          </w:tcPr>
          <w:p w14:paraId="7E7B161E" w14:textId="77777777" w:rsidR="00291E5E" w:rsidRPr="00291E5E" w:rsidRDefault="00291E5E" w:rsidP="00B12301">
            <w:pPr>
              <w:pStyle w:val="ARTableHeader"/>
              <w:rPr>
                <w:lang w:eastAsia="en-AU"/>
              </w:rPr>
            </w:pPr>
            <w:r w:rsidRPr="00291E5E">
              <w:rPr>
                <w:lang w:eastAsia="en-AU"/>
              </w:rPr>
              <w:t>Maximum</w:t>
            </w:r>
          </w:p>
        </w:tc>
        <w:tc>
          <w:tcPr>
            <w:tcW w:w="1503" w:type="dxa"/>
            <w:shd w:val="clear" w:color="auto" w:fill="0072CE"/>
            <w:noWrap/>
            <w:hideMark/>
          </w:tcPr>
          <w:p w14:paraId="530C6BB7" w14:textId="77777777" w:rsidR="00291E5E" w:rsidRPr="00291E5E" w:rsidRDefault="00291E5E" w:rsidP="00B12301">
            <w:pPr>
              <w:pStyle w:val="ARTableHeader"/>
              <w:rPr>
                <w:lang w:eastAsia="en-AU"/>
              </w:rPr>
            </w:pPr>
            <w:r w:rsidRPr="00291E5E">
              <w:rPr>
                <w:lang w:eastAsia="en-AU"/>
              </w:rPr>
              <w:t>Average</w:t>
            </w:r>
          </w:p>
        </w:tc>
      </w:tr>
      <w:tr w:rsidR="00291E5E" w:rsidRPr="00291E5E" w14:paraId="0D628D59" w14:textId="77777777" w:rsidTr="000E5EC2">
        <w:trPr>
          <w:trHeight w:val="300"/>
        </w:trPr>
        <w:tc>
          <w:tcPr>
            <w:tcW w:w="1502" w:type="dxa"/>
            <w:noWrap/>
            <w:hideMark/>
          </w:tcPr>
          <w:p w14:paraId="2B97E187" w14:textId="77777777" w:rsidR="00291E5E" w:rsidRPr="00291E5E" w:rsidRDefault="00291E5E" w:rsidP="00B12301">
            <w:pPr>
              <w:pStyle w:val="ARTableText"/>
              <w:rPr>
                <w:lang w:eastAsia="en-AU"/>
              </w:rPr>
            </w:pPr>
            <w:r w:rsidRPr="00291E5E">
              <w:rPr>
                <w:lang w:eastAsia="en-AU"/>
              </w:rPr>
              <w:t>ASIC 4</w:t>
            </w:r>
          </w:p>
        </w:tc>
        <w:tc>
          <w:tcPr>
            <w:tcW w:w="1502" w:type="dxa"/>
            <w:noWrap/>
            <w:hideMark/>
          </w:tcPr>
          <w:p w14:paraId="7CB3B7F4" w14:textId="77777777" w:rsidR="00291E5E" w:rsidRPr="00291E5E" w:rsidRDefault="00291E5E" w:rsidP="00B12301">
            <w:pPr>
              <w:pStyle w:val="ARTableText"/>
              <w:rPr>
                <w:lang w:eastAsia="en-AU"/>
              </w:rPr>
            </w:pPr>
            <w:r w:rsidRPr="00291E5E">
              <w:rPr>
                <w:lang w:eastAsia="en-AU"/>
              </w:rPr>
              <w:t>12</w:t>
            </w:r>
          </w:p>
        </w:tc>
        <w:tc>
          <w:tcPr>
            <w:tcW w:w="1503" w:type="dxa"/>
            <w:noWrap/>
            <w:hideMark/>
          </w:tcPr>
          <w:p w14:paraId="15A50986" w14:textId="77777777" w:rsidR="00291E5E" w:rsidRPr="00291E5E" w:rsidRDefault="00291E5E" w:rsidP="00B12301">
            <w:pPr>
              <w:pStyle w:val="ARTableText"/>
              <w:rPr>
                <w:lang w:eastAsia="en-AU"/>
              </w:rPr>
            </w:pPr>
            <w:r w:rsidRPr="00291E5E">
              <w:rPr>
                <w:lang w:eastAsia="en-AU"/>
              </w:rPr>
              <w:t>$44,766</w:t>
            </w:r>
          </w:p>
        </w:tc>
        <w:tc>
          <w:tcPr>
            <w:tcW w:w="1503" w:type="dxa"/>
            <w:noWrap/>
            <w:hideMark/>
          </w:tcPr>
          <w:p w14:paraId="776B1326" w14:textId="77777777" w:rsidR="00291E5E" w:rsidRPr="00291E5E" w:rsidRDefault="00291E5E" w:rsidP="00B12301">
            <w:pPr>
              <w:pStyle w:val="ARTableText"/>
              <w:rPr>
                <w:lang w:eastAsia="en-AU"/>
              </w:rPr>
            </w:pPr>
            <w:r w:rsidRPr="00291E5E">
              <w:rPr>
                <w:lang w:eastAsia="en-AU"/>
              </w:rPr>
              <w:t>$1,507</w:t>
            </w:r>
          </w:p>
        </w:tc>
        <w:tc>
          <w:tcPr>
            <w:tcW w:w="1503" w:type="dxa"/>
            <w:noWrap/>
            <w:hideMark/>
          </w:tcPr>
          <w:p w14:paraId="61CA7EDB" w14:textId="77777777" w:rsidR="00291E5E" w:rsidRPr="00291E5E" w:rsidRDefault="00291E5E" w:rsidP="00B12301">
            <w:pPr>
              <w:pStyle w:val="ARTableText"/>
              <w:rPr>
                <w:lang w:eastAsia="en-AU"/>
              </w:rPr>
            </w:pPr>
            <w:r w:rsidRPr="00291E5E">
              <w:rPr>
                <w:lang w:eastAsia="en-AU"/>
              </w:rPr>
              <w:t>$6,265</w:t>
            </w:r>
          </w:p>
        </w:tc>
        <w:tc>
          <w:tcPr>
            <w:tcW w:w="1503" w:type="dxa"/>
            <w:noWrap/>
            <w:hideMark/>
          </w:tcPr>
          <w:p w14:paraId="307180AF" w14:textId="77777777" w:rsidR="00291E5E" w:rsidRPr="00291E5E" w:rsidRDefault="00291E5E" w:rsidP="00B12301">
            <w:pPr>
              <w:pStyle w:val="ARTableText"/>
              <w:rPr>
                <w:lang w:eastAsia="en-AU"/>
              </w:rPr>
            </w:pPr>
            <w:r w:rsidRPr="00291E5E">
              <w:rPr>
                <w:lang w:eastAsia="en-AU"/>
              </w:rPr>
              <w:t>$3,731</w:t>
            </w:r>
          </w:p>
        </w:tc>
      </w:tr>
      <w:tr w:rsidR="00291E5E" w:rsidRPr="00291E5E" w14:paraId="4D8E4454" w14:textId="77777777" w:rsidTr="000E5EC2">
        <w:trPr>
          <w:trHeight w:val="300"/>
        </w:trPr>
        <w:tc>
          <w:tcPr>
            <w:tcW w:w="1502" w:type="dxa"/>
            <w:noWrap/>
            <w:hideMark/>
          </w:tcPr>
          <w:p w14:paraId="18D545A8" w14:textId="77777777" w:rsidR="00291E5E" w:rsidRPr="00291E5E" w:rsidRDefault="00291E5E" w:rsidP="00B12301">
            <w:pPr>
              <w:pStyle w:val="ARTableText"/>
              <w:rPr>
                <w:lang w:eastAsia="en-AU"/>
              </w:rPr>
            </w:pPr>
            <w:r w:rsidRPr="00291E5E">
              <w:rPr>
                <w:lang w:eastAsia="en-AU"/>
              </w:rPr>
              <w:t>Executive Level</w:t>
            </w:r>
          </w:p>
        </w:tc>
        <w:tc>
          <w:tcPr>
            <w:tcW w:w="1502" w:type="dxa"/>
            <w:noWrap/>
            <w:hideMark/>
          </w:tcPr>
          <w:p w14:paraId="48DE0BF5" w14:textId="77777777" w:rsidR="00291E5E" w:rsidRPr="00291E5E" w:rsidRDefault="00291E5E" w:rsidP="00B12301">
            <w:pPr>
              <w:pStyle w:val="ARTableText"/>
              <w:rPr>
                <w:lang w:eastAsia="en-AU"/>
              </w:rPr>
            </w:pPr>
            <w:r w:rsidRPr="00291E5E">
              <w:rPr>
                <w:lang w:eastAsia="en-AU"/>
              </w:rPr>
              <w:t>9</w:t>
            </w:r>
          </w:p>
        </w:tc>
        <w:tc>
          <w:tcPr>
            <w:tcW w:w="1503" w:type="dxa"/>
            <w:noWrap/>
            <w:hideMark/>
          </w:tcPr>
          <w:p w14:paraId="097D8C40" w14:textId="77777777" w:rsidR="00291E5E" w:rsidRPr="00291E5E" w:rsidRDefault="00291E5E" w:rsidP="00B12301">
            <w:pPr>
              <w:pStyle w:val="ARTableText"/>
              <w:rPr>
                <w:lang w:eastAsia="en-AU"/>
              </w:rPr>
            </w:pPr>
            <w:r w:rsidRPr="00291E5E">
              <w:rPr>
                <w:lang w:eastAsia="en-AU"/>
              </w:rPr>
              <w:t>$89,635</w:t>
            </w:r>
          </w:p>
        </w:tc>
        <w:tc>
          <w:tcPr>
            <w:tcW w:w="1503" w:type="dxa"/>
            <w:noWrap/>
            <w:hideMark/>
          </w:tcPr>
          <w:p w14:paraId="307A2959" w14:textId="77777777" w:rsidR="00291E5E" w:rsidRPr="00291E5E" w:rsidRDefault="00291E5E" w:rsidP="00B12301">
            <w:pPr>
              <w:pStyle w:val="ARTableText"/>
              <w:rPr>
                <w:lang w:eastAsia="en-AU"/>
              </w:rPr>
            </w:pPr>
            <w:r w:rsidRPr="00291E5E">
              <w:rPr>
                <w:lang w:eastAsia="en-AU"/>
              </w:rPr>
              <w:t>$4,563</w:t>
            </w:r>
          </w:p>
        </w:tc>
        <w:tc>
          <w:tcPr>
            <w:tcW w:w="1503" w:type="dxa"/>
            <w:noWrap/>
            <w:hideMark/>
          </w:tcPr>
          <w:p w14:paraId="59911AB7" w14:textId="77777777" w:rsidR="00291E5E" w:rsidRPr="00291E5E" w:rsidRDefault="00291E5E" w:rsidP="00B12301">
            <w:pPr>
              <w:pStyle w:val="ARTableText"/>
              <w:rPr>
                <w:lang w:eastAsia="en-AU"/>
              </w:rPr>
            </w:pPr>
            <w:r w:rsidRPr="00291E5E">
              <w:rPr>
                <w:lang w:eastAsia="en-AU"/>
              </w:rPr>
              <w:t>$15,613</w:t>
            </w:r>
          </w:p>
        </w:tc>
        <w:tc>
          <w:tcPr>
            <w:tcW w:w="1503" w:type="dxa"/>
            <w:noWrap/>
            <w:hideMark/>
          </w:tcPr>
          <w:p w14:paraId="2EBAC116" w14:textId="77777777" w:rsidR="00291E5E" w:rsidRPr="00291E5E" w:rsidRDefault="00291E5E" w:rsidP="00B12301">
            <w:pPr>
              <w:pStyle w:val="ARTableText"/>
              <w:rPr>
                <w:lang w:eastAsia="en-AU"/>
              </w:rPr>
            </w:pPr>
            <w:r w:rsidRPr="00291E5E">
              <w:rPr>
                <w:lang w:eastAsia="en-AU"/>
              </w:rPr>
              <w:t>$9,959</w:t>
            </w:r>
          </w:p>
        </w:tc>
      </w:tr>
      <w:tr w:rsidR="00291E5E" w:rsidRPr="00291E5E" w14:paraId="01FAA616" w14:textId="77777777" w:rsidTr="000E5EC2">
        <w:trPr>
          <w:trHeight w:val="300"/>
        </w:trPr>
        <w:tc>
          <w:tcPr>
            <w:tcW w:w="1502" w:type="dxa"/>
            <w:noWrap/>
            <w:hideMark/>
          </w:tcPr>
          <w:p w14:paraId="65E03476" w14:textId="77777777" w:rsidR="00291E5E" w:rsidRPr="00291E5E" w:rsidRDefault="00291E5E" w:rsidP="00B12301">
            <w:pPr>
              <w:pStyle w:val="ARTableText"/>
              <w:rPr>
                <w:lang w:eastAsia="en-AU"/>
              </w:rPr>
            </w:pPr>
            <w:r w:rsidRPr="00291E5E">
              <w:rPr>
                <w:lang w:eastAsia="en-AU"/>
              </w:rPr>
              <w:t>Total</w:t>
            </w:r>
          </w:p>
        </w:tc>
        <w:tc>
          <w:tcPr>
            <w:tcW w:w="1502" w:type="dxa"/>
            <w:noWrap/>
            <w:hideMark/>
          </w:tcPr>
          <w:p w14:paraId="65498CEC" w14:textId="77777777" w:rsidR="00291E5E" w:rsidRPr="00291E5E" w:rsidRDefault="00291E5E" w:rsidP="00B12301">
            <w:pPr>
              <w:pStyle w:val="ARTableText"/>
              <w:rPr>
                <w:lang w:eastAsia="en-AU"/>
              </w:rPr>
            </w:pPr>
            <w:r w:rsidRPr="00291E5E">
              <w:rPr>
                <w:lang w:eastAsia="en-AU"/>
              </w:rPr>
              <w:t>21</w:t>
            </w:r>
          </w:p>
        </w:tc>
        <w:tc>
          <w:tcPr>
            <w:tcW w:w="1503" w:type="dxa"/>
            <w:noWrap/>
            <w:hideMark/>
          </w:tcPr>
          <w:p w14:paraId="51B035D1" w14:textId="77777777" w:rsidR="00291E5E" w:rsidRPr="00291E5E" w:rsidRDefault="00291E5E" w:rsidP="00B12301">
            <w:pPr>
              <w:pStyle w:val="ARTableText"/>
              <w:rPr>
                <w:lang w:eastAsia="en-AU"/>
              </w:rPr>
            </w:pPr>
            <w:r w:rsidRPr="00291E5E">
              <w:rPr>
                <w:lang w:eastAsia="en-AU"/>
              </w:rPr>
              <w:t>$134,402</w:t>
            </w:r>
          </w:p>
        </w:tc>
        <w:tc>
          <w:tcPr>
            <w:tcW w:w="1503" w:type="dxa"/>
            <w:noWrap/>
            <w:hideMark/>
          </w:tcPr>
          <w:p w14:paraId="700D64F8" w14:textId="77777777" w:rsidR="00291E5E" w:rsidRPr="00291E5E" w:rsidRDefault="00291E5E" w:rsidP="00B12301">
            <w:pPr>
              <w:pStyle w:val="ARTableText"/>
              <w:rPr>
                <w:lang w:eastAsia="en-AU"/>
              </w:rPr>
            </w:pPr>
            <w:r w:rsidRPr="00291E5E">
              <w:rPr>
                <w:lang w:eastAsia="en-AU"/>
              </w:rPr>
              <w:t>$1,507</w:t>
            </w:r>
          </w:p>
        </w:tc>
        <w:tc>
          <w:tcPr>
            <w:tcW w:w="1503" w:type="dxa"/>
            <w:noWrap/>
            <w:hideMark/>
          </w:tcPr>
          <w:p w14:paraId="4CE77A53" w14:textId="77777777" w:rsidR="00291E5E" w:rsidRPr="00291E5E" w:rsidRDefault="00291E5E" w:rsidP="00B12301">
            <w:pPr>
              <w:pStyle w:val="ARTableText"/>
              <w:rPr>
                <w:lang w:eastAsia="en-AU"/>
              </w:rPr>
            </w:pPr>
            <w:r w:rsidRPr="00291E5E">
              <w:rPr>
                <w:lang w:eastAsia="en-AU"/>
              </w:rPr>
              <w:t>$15,613</w:t>
            </w:r>
          </w:p>
        </w:tc>
        <w:tc>
          <w:tcPr>
            <w:tcW w:w="1503" w:type="dxa"/>
            <w:noWrap/>
            <w:hideMark/>
          </w:tcPr>
          <w:p w14:paraId="674CA249" w14:textId="77777777" w:rsidR="00291E5E" w:rsidRPr="00291E5E" w:rsidRDefault="00291E5E" w:rsidP="00B12301">
            <w:pPr>
              <w:pStyle w:val="ARTableText"/>
              <w:rPr>
                <w:lang w:eastAsia="en-AU"/>
              </w:rPr>
            </w:pPr>
            <w:r w:rsidRPr="00291E5E">
              <w:rPr>
                <w:lang w:eastAsia="en-AU"/>
              </w:rPr>
              <w:t>$6,400</w:t>
            </w:r>
          </w:p>
        </w:tc>
      </w:tr>
    </w:tbl>
    <w:p w14:paraId="07C24C1F" w14:textId="7965DC86" w:rsidR="00291E5E" w:rsidRPr="00291E5E" w:rsidRDefault="00291E5E" w:rsidP="00B12301">
      <w:pPr>
        <w:pStyle w:val="ARNote"/>
        <w:rPr>
          <w:lang w:eastAsia="en-AU"/>
        </w:rPr>
      </w:pPr>
      <w:r w:rsidRPr="00291E5E">
        <w:rPr>
          <w:lang w:eastAsia="en-AU"/>
        </w:rPr>
        <w:t>*</w:t>
      </w:r>
      <w:r w:rsidR="000E5EC2">
        <w:rPr>
          <w:lang w:eastAsia="en-AU"/>
        </w:rPr>
        <w:tab/>
      </w:r>
      <w:r w:rsidRPr="00291E5E">
        <w:rPr>
          <w:lang w:eastAsia="en-AU"/>
        </w:rPr>
        <w:t>Includes pro</w:t>
      </w:r>
      <w:r w:rsidR="0050078B">
        <w:rPr>
          <w:lang w:eastAsia="en-AU"/>
        </w:rPr>
        <w:noBreakHyphen/>
      </w:r>
      <w:r w:rsidRPr="00291E5E">
        <w:rPr>
          <w:lang w:eastAsia="en-AU"/>
        </w:rPr>
        <w:t>rata payments for the 2020</w:t>
      </w:r>
      <w:r w:rsidRPr="00291E5E">
        <w:t>–</w:t>
      </w:r>
      <w:r w:rsidRPr="00291E5E">
        <w:rPr>
          <w:lang w:eastAsia="en-AU"/>
        </w:rPr>
        <w:t>21 performance year for team members who left ASIC in 2020</w:t>
      </w:r>
      <w:r w:rsidRPr="00291E5E">
        <w:t>–</w:t>
      </w:r>
      <w:r w:rsidRPr="00291E5E">
        <w:rPr>
          <w:lang w:eastAsia="en-AU"/>
        </w:rPr>
        <w:t>21.</w:t>
      </w:r>
    </w:p>
    <w:p w14:paraId="44299D0E" w14:textId="50EE2056" w:rsidR="00291E5E" w:rsidRPr="00291E5E" w:rsidRDefault="00291E5E" w:rsidP="00D579F2">
      <w:pPr>
        <w:pStyle w:val="ARH2-Bodycopyheadinglevel1"/>
      </w:pPr>
      <w:r w:rsidRPr="00291E5E">
        <w:t>Enterprise Agreement</w:t>
      </w:r>
    </w:p>
    <w:p w14:paraId="0B7AF795" w14:textId="77777777" w:rsidR="00291E5E" w:rsidRPr="00291E5E" w:rsidRDefault="00291E5E" w:rsidP="00B12301">
      <w:r w:rsidRPr="00291E5E">
        <w:t>All Tribunal team members were employed under the ASIC Enterprise Agreement 2019–2022. Information on the Enterprise Agreement and performance pay arrangements are publicly available.</w:t>
      </w:r>
    </w:p>
    <w:p w14:paraId="4041554C" w14:textId="20D58AF8" w:rsidR="00291E5E" w:rsidRPr="00291E5E" w:rsidRDefault="00291E5E" w:rsidP="00D579F2">
      <w:pPr>
        <w:pStyle w:val="ARH2-Bodycopyheadinglevel1"/>
      </w:pPr>
      <w:r w:rsidRPr="00291E5E">
        <w:t>Appointment of Tribunal Members</w:t>
      </w:r>
      <w:r w:rsidR="003D2A3C">
        <w:t>, July – December 2020</w:t>
      </w:r>
      <w:bookmarkStart w:id="12" w:name="_Hlk47081837"/>
    </w:p>
    <w:bookmarkEnd w:id="12"/>
    <w:p w14:paraId="25722378" w14:textId="50769FC3" w:rsidR="00291E5E" w:rsidRPr="00291E5E" w:rsidRDefault="00291E5E" w:rsidP="00B12301">
      <w:r w:rsidRPr="00291E5E">
        <w:t>The Chairperson and Deputy Chairperson were appointed by the Governor</w:t>
      </w:r>
      <w:r w:rsidR="0050078B">
        <w:noBreakHyphen/>
      </w:r>
      <w:r w:rsidRPr="00291E5E">
        <w:t xml:space="preserve">General and remunerated in accordance with determinations made under the </w:t>
      </w:r>
      <w:r w:rsidRPr="00291E5E">
        <w:rPr>
          <w:i/>
          <w:iCs/>
        </w:rPr>
        <w:t xml:space="preserve">Remuneration Tribunal Act 1973 </w:t>
      </w:r>
      <w:r w:rsidRPr="00291E5E">
        <w:t>(the Remuneration Act).</w:t>
      </w:r>
    </w:p>
    <w:p w14:paraId="26C78AC9" w14:textId="77777777" w:rsidR="00291E5E" w:rsidRPr="00291E5E" w:rsidRDefault="00291E5E" w:rsidP="00B12301">
      <w:r w:rsidRPr="00291E5E">
        <w:t>Tribunal Members were appointed by the responsible Minister and also remunerated in accordance with determinations made under the Remuneration Act.</w:t>
      </w:r>
    </w:p>
    <w:p w14:paraId="12F3A96F" w14:textId="794C83D8" w:rsidR="00291E5E" w:rsidRPr="00291E5E" w:rsidRDefault="00291E5E" w:rsidP="00D579F2">
      <w:pPr>
        <w:pStyle w:val="ARH2-Bodycopyheadinglevel1"/>
      </w:pPr>
      <w:r w:rsidRPr="00291E5E">
        <w:t>National operations</w:t>
      </w:r>
    </w:p>
    <w:p w14:paraId="28B7CD4F" w14:textId="77777777" w:rsidR="00291E5E" w:rsidRPr="00291E5E" w:rsidRDefault="00291E5E" w:rsidP="00B12301">
      <w:r w:rsidRPr="00291E5E">
        <w:t>The Tribunal team members were located at Level 18, 140 William Street, Melbourne.</w:t>
      </w:r>
    </w:p>
    <w:p w14:paraId="38E2BBD3" w14:textId="67BB68E8" w:rsidR="00291E5E" w:rsidRPr="00291E5E" w:rsidRDefault="00291E5E" w:rsidP="00B12301">
      <w:r w:rsidRPr="00291E5E">
        <w:t>The Tribunal had discretionary powers under ss 29 and 35 of the SRC Act and the Chairperson</w:t>
      </w:r>
      <w:r w:rsidR="0050078B">
        <w:t>’</w:t>
      </w:r>
      <w:r w:rsidRPr="00291E5E">
        <w:t xml:space="preserve">s Guidelines and Procedural Rules (see Appendices 4 and 5) to decide its mode of service delivery. The Tribunal determined its conciliations and reviews by telephone, video conferencing or by </w:t>
      </w:r>
      <w:r w:rsidR="0050078B">
        <w:t>‘</w:t>
      </w:r>
      <w:r w:rsidRPr="00291E5E">
        <w:t>any means of communication</w:t>
      </w:r>
      <w:r w:rsidR="0050078B">
        <w:t>’</w:t>
      </w:r>
      <w:r w:rsidRPr="00291E5E">
        <w:t>.</w:t>
      </w:r>
      <w:r w:rsidRPr="00291E5E">
        <w:br w:type="page"/>
      </w:r>
    </w:p>
    <w:p w14:paraId="6D4C6BAF" w14:textId="500C2620" w:rsidR="00291E5E" w:rsidRPr="00291E5E" w:rsidRDefault="00291E5E" w:rsidP="00D579F2">
      <w:pPr>
        <w:pStyle w:val="ARH2-Bodycopyheadinglevel1"/>
      </w:pPr>
      <w:r w:rsidRPr="00291E5E">
        <w:lastRenderedPageBreak/>
        <w:t>Relationships</w:t>
      </w:r>
    </w:p>
    <w:p w14:paraId="5BA2FED4" w14:textId="26BD94DA" w:rsidR="00291E5E" w:rsidRPr="00291E5E" w:rsidRDefault="00291E5E" w:rsidP="00D579F2">
      <w:pPr>
        <w:pStyle w:val="ARH3-Bodycopyheadinglevel1"/>
      </w:pPr>
      <w:r w:rsidRPr="00291E5E">
        <w:t>Australian Securities and Investments Commission (ASIC)</w:t>
      </w:r>
    </w:p>
    <w:p w14:paraId="1716FC29" w14:textId="77777777" w:rsidR="00291E5E" w:rsidRPr="00291E5E" w:rsidRDefault="00291E5E" w:rsidP="00B12301">
      <w:r w:rsidRPr="00291E5E">
        <w:t>The Tribunal had a relationship with ASIC, which began on 1 July 1998. Under s 62 of the SRC Act, ASIC provided the staff and facilities as necessary or desirable to enable the Tribunal to perform its functions.</w:t>
      </w:r>
    </w:p>
    <w:p w14:paraId="67D46F02" w14:textId="76965F1F" w:rsidR="00291E5E" w:rsidRPr="00291E5E" w:rsidRDefault="00291E5E" w:rsidP="00B12301">
      <w:r w:rsidRPr="00291E5E">
        <w:t>As of 6 May 1999, the Tribunal and ASIC worked under a non</w:t>
      </w:r>
      <w:r w:rsidR="0050078B">
        <w:noBreakHyphen/>
      </w:r>
      <w:r w:rsidRPr="00291E5E">
        <w:t>legally binding memorandum of understanding (MOU) (see Appendix 2). The MOU satisfied relevant statutory provisions and recognised each body</w:t>
      </w:r>
      <w:r w:rsidR="0050078B">
        <w:t>’</w:t>
      </w:r>
      <w:r w:rsidRPr="00291E5E">
        <w:t>s independence.</w:t>
      </w:r>
    </w:p>
    <w:p w14:paraId="5BB38FD1" w14:textId="116FA103" w:rsidR="00291E5E" w:rsidRPr="00291E5E" w:rsidRDefault="00291E5E" w:rsidP="00B12301">
      <w:r w:rsidRPr="00291E5E">
        <w:t>In addition, the Tribunal and ASIC observed a mutual, non</w:t>
      </w:r>
      <w:r w:rsidR="0050078B">
        <w:noBreakHyphen/>
      </w:r>
      <w:r w:rsidRPr="00291E5E">
        <w:t>legally binding service level agreement (SLA). This covered each agency</w:t>
      </w:r>
      <w:r w:rsidR="0050078B">
        <w:t>’</w:t>
      </w:r>
      <w:r w:rsidRPr="00291E5E">
        <w:t>s responsibilities for information technology, learning and development, finance, human resource management/payroll and office services.</w:t>
      </w:r>
    </w:p>
    <w:p w14:paraId="12A13AF1" w14:textId="77777777" w:rsidR="00291E5E" w:rsidRPr="00291E5E" w:rsidRDefault="00291E5E" w:rsidP="00B12301">
      <w:r w:rsidRPr="00291E5E">
        <w:t>Under the SRC Act, ASIC provided the Tribunal with resources and budget to function. Procurements were made in accordance with the PGPA Act.</w:t>
      </w:r>
    </w:p>
    <w:p w14:paraId="29B3EFA8" w14:textId="628FB8D9" w:rsidR="00291E5E" w:rsidRPr="00291E5E" w:rsidRDefault="00291E5E" w:rsidP="00D579F2">
      <w:pPr>
        <w:pStyle w:val="ARH3-Bodycopyheadinglevel1"/>
      </w:pPr>
      <w:r w:rsidRPr="00291E5E">
        <w:t>Australian Prudential Regulation Authority (APRA)</w:t>
      </w:r>
    </w:p>
    <w:p w14:paraId="76FDC1AA" w14:textId="77777777" w:rsidR="00291E5E" w:rsidRPr="00291E5E" w:rsidRDefault="00291E5E" w:rsidP="00B12301">
      <w:r w:rsidRPr="00291E5E">
        <w:t>APRA oversees banks, credit unions, building societies, general insurance and reinsurance companies, life insurance, private health insurance, friendly societies and most of the superannuation industry.</w:t>
      </w:r>
    </w:p>
    <w:p w14:paraId="7FFB9B74" w14:textId="77777777" w:rsidR="00291E5E" w:rsidRPr="00291E5E" w:rsidRDefault="00291E5E" w:rsidP="00B12301">
      <w:r w:rsidRPr="00291E5E">
        <w:t xml:space="preserve">The regulator also collects an annual levy on superannuation entities, under the </w:t>
      </w:r>
      <w:r w:rsidRPr="00291E5E">
        <w:rPr>
          <w:i/>
          <w:iCs/>
        </w:rPr>
        <w:t>Financial Institutions Supervisory Levies Collection Act 1998</w:t>
      </w:r>
      <w:r w:rsidRPr="00291E5E">
        <w:t>, which is paid into consolidated revenue.</w:t>
      </w:r>
    </w:p>
    <w:p w14:paraId="7287A55A" w14:textId="1F5454B8" w:rsidR="00291E5E" w:rsidRPr="00291E5E" w:rsidRDefault="00291E5E" w:rsidP="00B12301">
      <w:r w:rsidRPr="00291E5E">
        <w:t>The Tribunal</w:t>
      </w:r>
      <w:r w:rsidR="0050078B">
        <w:t>’</w:t>
      </w:r>
      <w:r w:rsidRPr="00291E5E">
        <w:t>s operating costs were appropriated by Parliament as part of the ASIC appropriations.</w:t>
      </w:r>
    </w:p>
    <w:p w14:paraId="0CF57469" w14:textId="77777777" w:rsidR="00291E5E" w:rsidRPr="00291E5E" w:rsidRDefault="00291E5E" w:rsidP="00B12301"/>
    <w:p w14:paraId="3F7F9BA3" w14:textId="77777777" w:rsidR="00291E5E" w:rsidRPr="00291E5E" w:rsidRDefault="00291E5E" w:rsidP="00B12301">
      <w:pPr>
        <w:rPr>
          <w:highlight w:val="yellow"/>
        </w:rPr>
      </w:pPr>
      <w:r w:rsidRPr="00291E5E">
        <w:rPr>
          <w:highlight w:val="yellow"/>
        </w:rPr>
        <w:br w:type="page"/>
      </w:r>
    </w:p>
    <w:p w14:paraId="1D829E99" w14:textId="431A3D4B" w:rsidR="00291E5E" w:rsidRPr="00291E5E" w:rsidRDefault="00291E5E" w:rsidP="00D579F2">
      <w:pPr>
        <w:pStyle w:val="ARH1-Mainsectionheading"/>
      </w:pPr>
      <w:bookmarkStart w:id="13" w:name="_Toc82442769"/>
      <w:r w:rsidRPr="00291E5E">
        <w:lastRenderedPageBreak/>
        <w:t>Referral of complaints</w:t>
      </w:r>
      <w:bookmarkEnd w:id="13"/>
    </w:p>
    <w:p w14:paraId="370B1A04" w14:textId="77777777" w:rsidR="00291E5E" w:rsidRPr="00291E5E" w:rsidRDefault="00291E5E" w:rsidP="00B12301">
      <w:r w:rsidRPr="00291E5E">
        <w:t>The Tribunal had to provide ASIC and/or APRA with certain details of complaints.</w:t>
      </w:r>
    </w:p>
    <w:p w14:paraId="3C7AD0FD" w14:textId="7DB65894" w:rsidR="00291E5E" w:rsidRPr="00291E5E" w:rsidRDefault="00291E5E" w:rsidP="00D579F2">
      <w:pPr>
        <w:pStyle w:val="ARH2-Bodycopyheadinglevel1"/>
      </w:pPr>
      <w:r w:rsidRPr="00291E5E">
        <w:t>Contraventions</w:t>
      </w:r>
      <w:bookmarkStart w:id="14" w:name="_Hlk518911276"/>
    </w:p>
    <w:bookmarkEnd w:id="14"/>
    <w:p w14:paraId="4EB05A31" w14:textId="7D2CF3DF" w:rsidR="00291E5E" w:rsidRPr="00291E5E" w:rsidRDefault="00291E5E" w:rsidP="00B12301">
      <w:r w:rsidRPr="00291E5E">
        <w:t>Under the SRC Act, the Tribunal</w:t>
      </w:r>
      <w:r w:rsidR="0050078B">
        <w:t>’</w:t>
      </w:r>
      <w:r w:rsidRPr="00291E5E">
        <w:t xml:space="preserve">s Chairperson had to report details about contraventions of any: </w:t>
      </w:r>
    </w:p>
    <w:p w14:paraId="5E80F34C" w14:textId="77777777" w:rsidR="00291E5E" w:rsidRPr="00291E5E" w:rsidRDefault="00291E5E" w:rsidP="00B12301">
      <w:pPr>
        <w:pStyle w:val="ARBulletListL1"/>
      </w:pPr>
      <w:r w:rsidRPr="00291E5E">
        <w:t>law</w:t>
      </w:r>
    </w:p>
    <w:p w14:paraId="1402A139" w14:textId="77777777" w:rsidR="00291E5E" w:rsidRPr="00291E5E" w:rsidRDefault="00291E5E" w:rsidP="00B12301">
      <w:pPr>
        <w:pStyle w:val="ARBulletListL1"/>
      </w:pPr>
      <w:r w:rsidRPr="00291E5E">
        <w:t xml:space="preserve">governing rules of a superannuation fund </w:t>
      </w:r>
    </w:p>
    <w:p w14:paraId="43EFCFCA" w14:textId="77777777" w:rsidR="00291E5E" w:rsidRPr="00291E5E" w:rsidRDefault="00291E5E" w:rsidP="00B12301">
      <w:pPr>
        <w:pStyle w:val="ARBulletListL1"/>
      </w:pPr>
      <w:r w:rsidRPr="00291E5E">
        <w:t>terms and conditions of an annuity policy, life policy or RSA.</w:t>
      </w:r>
    </w:p>
    <w:p w14:paraId="6203482E" w14:textId="77777777" w:rsidR="00291E5E" w:rsidRPr="00291E5E" w:rsidRDefault="00291E5E" w:rsidP="00B12301">
      <w:r w:rsidRPr="00291E5E">
        <w:t>Under ss 64, 64A and 65, the Chairperson had to give the particulars to ASIC and/or APRA on becoming aware there may be a contravention and/or that a party to a complaint had refused or failed to give effect to a determination made by the Tribunal.</w:t>
      </w:r>
    </w:p>
    <w:p w14:paraId="32F4F7B6" w14:textId="77777777" w:rsidR="00291E5E" w:rsidRPr="00291E5E" w:rsidRDefault="00291E5E" w:rsidP="00B12301">
      <w:r w:rsidRPr="00291E5E">
        <w:t>This reporting year no contraventions were reported to ASIC or to APRA.</w:t>
      </w:r>
    </w:p>
    <w:p w14:paraId="0F83638C" w14:textId="77777777" w:rsidR="00291E5E" w:rsidRPr="00291E5E" w:rsidRDefault="00291E5E" w:rsidP="00D579F2">
      <w:pPr>
        <w:pStyle w:val="ARH2-Bodycopyheadinglevel1"/>
      </w:pPr>
      <w:bookmarkStart w:id="15" w:name="_Hlk518911606"/>
      <w:bookmarkStart w:id="16" w:name="_Hlk46924113"/>
      <w:r w:rsidRPr="00291E5E">
        <w:t>Determinations</w:t>
      </w:r>
    </w:p>
    <w:p w14:paraId="3E8EA2F0" w14:textId="77777777" w:rsidR="00291E5E" w:rsidRPr="00291E5E" w:rsidRDefault="00291E5E" w:rsidP="00B12301">
      <w:r w:rsidRPr="00291E5E">
        <w:t>Under s 65 of the SRC Act, the Chairperson had to report details of any refusals or failures to give effect to a determination made by the Tribunal.</w:t>
      </w:r>
    </w:p>
    <w:p w14:paraId="010DAA0E" w14:textId="77777777" w:rsidR="00291E5E" w:rsidRPr="00291E5E" w:rsidRDefault="00291E5E" w:rsidP="00B12301">
      <w:r w:rsidRPr="00291E5E">
        <w:t>On becoming aware that a party to a complaint had failed or refused to give effect to a determination, the Chairperson had to give particulars to ASIC and/or APRA.</w:t>
      </w:r>
    </w:p>
    <w:p w14:paraId="04419EE6" w14:textId="77777777" w:rsidR="00291E5E" w:rsidRPr="00291E5E" w:rsidRDefault="00291E5E" w:rsidP="00B12301">
      <w:r w:rsidRPr="00291E5E">
        <w:t>This reporting year there were no reportable failures or refusals to give effect to a determination.</w:t>
      </w:r>
    </w:p>
    <w:bookmarkEnd w:id="15"/>
    <w:p w14:paraId="28F40399" w14:textId="77777777" w:rsidR="00291E5E" w:rsidRPr="00291E5E" w:rsidRDefault="00291E5E" w:rsidP="00D579F2">
      <w:pPr>
        <w:pStyle w:val="ARH2-Bodycopyheadinglevel1"/>
      </w:pPr>
      <w:r w:rsidRPr="00291E5E">
        <w:t>Settlements</w:t>
      </w:r>
    </w:p>
    <w:bookmarkEnd w:id="16"/>
    <w:p w14:paraId="343ADECC" w14:textId="0FB1F5E5" w:rsidR="00291E5E" w:rsidRPr="00291E5E" w:rsidRDefault="00291E5E" w:rsidP="00B12301">
      <w:r w:rsidRPr="00291E5E">
        <w:t xml:space="preserve">Under s 31(2) of the SRC Act, the Tribunal had discretionary power to give details of a conciliation settlement to the </w:t>
      </w:r>
      <w:r w:rsidR="0050078B">
        <w:t>‘</w:t>
      </w:r>
      <w:r w:rsidRPr="00291E5E">
        <w:t>regulator</w:t>
      </w:r>
      <w:r w:rsidR="0050078B">
        <w:t>’</w:t>
      </w:r>
      <w:r w:rsidRPr="00291E5E">
        <w:t xml:space="preserve"> if it thought the settlement may require investigation. </w:t>
      </w:r>
      <w:r w:rsidR="0050078B">
        <w:t>‘</w:t>
      </w:r>
      <w:r w:rsidRPr="00291E5E">
        <w:t>Regulator</w:t>
      </w:r>
      <w:r w:rsidR="0050078B">
        <w:t>’</w:t>
      </w:r>
      <w:r w:rsidRPr="00291E5E">
        <w:t xml:space="preserve"> is defined in s 10(1) of the SIS Act. It may be either ASIC, APRA or the Commissioner of Taxation, as relevant.</w:t>
      </w:r>
    </w:p>
    <w:p w14:paraId="51820642" w14:textId="3B927973" w:rsidR="00D579F2" w:rsidRDefault="00291E5E" w:rsidP="00B12301">
      <w:r w:rsidRPr="00291E5E">
        <w:t>This reporting year there were no settlements requiring investigation.</w:t>
      </w:r>
    </w:p>
    <w:p w14:paraId="7D49FA81" w14:textId="77777777" w:rsidR="00D579F2" w:rsidRDefault="00D579F2">
      <w:pPr>
        <w:spacing w:before="0" w:after="160" w:line="259" w:lineRule="auto"/>
      </w:pPr>
      <w:r>
        <w:br w:type="page"/>
      </w:r>
    </w:p>
    <w:p w14:paraId="4C9984B9" w14:textId="3C5BCA13" w:rsidR="00291E5E" w:rsidRPr="00291E5E" w:rsidRDefault="00291E5E" w:rsidP="00D579F2">
      <w:pPr>
        <w:pStyle w:val="ARH1-Mainsectionheading"/>
      </w:pPr>
      <w:bookmarkStart w:id="17" w:name="_Toc82442770"/>
      <w:r w:rsidRPr="00291E5E">
        <w:lastRenderedPageBreak/>
        <w:t>The responsible Minister</w:t>
      </w:r>
      <w:bookmarkEnd w:id="17"/>
    </w:p>
    <w:p w14:paraId="38858DB7" w14:textId="77777777" w:rsidR="00291E5E" w:rsidRPr="00291E5E" w:rsidRDefault="00291E5E" w:rsidP="00B12301">
      <w:r w:rsidRPr="00291E5E">
        <w:t>The responsible Minister has certain statutory powers under our Act. They are mostly concerned with various appointment and administrative matters concerning the Chairperson, Deputy Chairperson and Tribunal Members. The Minister has no statutory powers of direction over the Tribunal in the exercise of its s 12 functions.</w:t>
      </w:r>
    </w:p>
    <w:p w14:paraId="769A7D85" w14:textId="19AD01D3" w:rsidR="00291E5E" w:rsidRPr="00291E5E" w:rsidRDefault="00D72FD1" w:rsidP="00B12301">
      <w:r>
        <w:t>T</w:t>
      </w:r>
      <w:r w:rsidR="00291E5E" w:rsidRPr="00291E5E">
        <w:t>he Tribunal</w:t>
      </w:r>
      <w:r w:rsidR="0050078B">
        <w:t>’</w:t>
      </w:r>
      <w:r w:rsidR="00291E5E" w:rsidRPr="00291E5E">
        <w:t>s portfolio Minister was Senator the Hon Jane Hume</w:t>
      </w:r>
      <w:r w:rsidR="00EC3770">
        <w:t xml:space="preserve">, </w:t>
      </w:r>
      <w:r w:rsidR="00EC3770" w:rsidRPr="00EC3770">
        <w:t>Minister for Superannuation, Financial Services and the Digital Economy</w:t>
      </w:r>
      <w:r w:rsidR="00EC3770">
        <w:t xml:space="preserve">, </w:t>
      </w:r>
      <w:r w:rsidR="00EC3770" w:rsidRPr="00EC3770">
        <w:t>Minister for Women</w:t>
      </w:r>
      <w:r w:rsidR="0050078B">
        <w:t>’</w:t>
      </w:r>
      <w:r w:rsidR="00EC3770" w:rsidRPr="00EC3770">
        <w:t>s Economic Security</w:t>
      </w:r>
      <w:r w:rsidR="00291E5E" w:rsidRPr="00291E5E">
        <w:t>.</w:t>
      </w:r>
    </w:p>
    <w:p w14:paraId="1FCE4191" w14:textId="314BE6C1" w:rsidR="00291E5E" w:rsidRPr="00291E5E" w:rsidRDefault="00291E5E" w:rsidP="00B12301">
      <w:r w:rsidRPr="00291E5E">
        <w:t>The Tribunal</w:t>
      </w:r>
      <w:r w:rsidR="0050078B">
        <w:t>’</w:t>
      </w:r>
      <w:r w:rsidRPr="00291E5E">
        <w:t>s enabling Act, the SRC Act, is administered by the Department of the Treasury.</w:t>
      </w:r>
    </w:p>
    <w:p w14:paraId="46B62108" w14:textId="77777777" w:rsidR="00291E5E" w:rsidRPr="00291E5E" w:rsidRDefault="00291E5E" w:rsidP="00B12301"/>
    <w:p w14:paraId="541E0313" w14:textId="77777777" w:rsidR="00291E5E" w:rsidRPr="00291E5E" w:rsidRDefault="00291E5E" w:rsidP="00B12301">
      <w:r w:rsidRPr="00291E5E">
        <w:br w:type="page"/>
      </w:r>
    </w:p>
    <w:p w14:paraId="1E68E192" w14:textId="714AFD6E" w:rsidR="00291E5E" w:rsidRPr="00291E5E" w:rsidRDefault="00291E5E" w:rsidP="00D579F2">
      <w:pPr>
        <w:pStyle w:val="ARH1-Mainsectionheading"/>
      </w:pPr>
      <w:bookmarkStart w:id="18" w:name="_Toc82442771"/>
      <w:r w:rsidRPr="00291E5E">
        <w:lastRenderedPageBreak/>
        <w:t>Jurisdiction</w:t>
      </w:r>
      <w:bookmarkEnd w:id="18"/>
    </w:p>
    <w:p w14:paraId="38A26692" w14:textId="77777777" w:rsidR="00291E5E" w:rsidRPr="00291E5E" w:rsidRDefault="00291E5E" w:rsidP="00B12301">
      <w:r w:rsidRPr="00291E5E">
        <w:t>The Tribunal did not have jurisdiction to receive complaints during 2020–21. All enquiries regarding new complaints were directed to AFCA.</w:t>
      </w:r>
    </w:p>
    <w:p w14:paraId="143B3CCB" w14:textId="3552C001" w:rsidR="00291E5E" w:rsidRPr="00291E5E" w:rsidRDefault="00291E5E" w:rsidP="00D579F2">
      <w:pPr>
        <w:pStyle w:val="ARH1-Mainsectionheading"/>
      </w:pPr>
      <w:bookmarkStart w:id="19" w:name="_Toc82442772"/>
      <w:r w:rsidRPr="00291E5E">
        <w:t>Complaints finalised</w:t>
      </w:r>
      <w:bookmarkEnd w:id="19"/>
    </w:p>
    <w:p w14:paraId="3F97FC28" w14:textId="77777777" w:rsidR="00291E5E" w:rsidRPr="00291E5E" w:rsidRDefault="00291E5E" w:rsidP="00B12301">
      <w:r w:rsidRPr="00291E5E">
        <w:t>During the reporting period 166 complaints were finalised.</w:t>
      </w:r>
    </w:p>
    <w:p w14:paraId="6375CCEA" w14:textId="77777777" w:rsidR="00291E5E" w:rsidRPr="00291E5E" w:rsidRDefault="00291E5E" w:rsidP="00B12301">
      <w:pPr>
        <w:pStyle w:val="ARTableFigureTitle"/>
      </w:pPr>
      <w:r w:rsidRPr="00291E5E">
        <w:t xml:space="preserve">Table 6.5 Complaints finalised, resolved or withdrawn in 2020–21. </w:t>
      </w:r>
    </w:p>
    <w:tbl>
      <w:tblPr>
        <w:tblStyle w:val="TableGrid"/>
        <w:tblW w:w="5000" w:type="pct"/>
        <w:tblLook w:val="04A0" w:firstRow="1" w:lastRow="0" w:firstColumn="1" w:lastColumn="0" w:noHBand="0" w:noVBand="1"/>
      </w:tblPr>
      <w:tblGrid>
        <w:gridCol w:w="4566"/>
        <w:gridCol w:w="2795"/>
        <w:gridCol w:w="1655"/>
      </w:tblGrid>
      <w:tr w:rsidR="00291E5E" w:rsidRPr="00291E5E" w14:paraId="19B5F3B9" w14:textId="77777777" w:rsidTr="00576557">
        <w:trPr>
          <w:trHeight w:val="285"/>
        </w:trPr>
        <w:tc>
          <w:tcPr>
            <w:tcW w:w="4072" w:type="dxa"/>
            <w:shd w:val="clear" w:color="auto" w:fill="0072CE"/>
          </w:tcPr>
          <w:p w14:paraId="3943298A" w14:textId="77777777" w:rsidR="00291E5E" w:rsidRPr="00291E5E" w:rsidRDefault="00291E5E" w:rsidP="00B12301">
            <w:pPr>
              <w:pStyle w:val="ARTableHeader"/>
            </w:pPr>
          </w:p>
        </w:tc>
        <w:tc>
          <w:tcPr>
            <w:tcW w:w="2493" w:type="dxa"/>
            <w:shd w:val="clear" w:color="auto" w:fill="0072CE"/>
          </w:tcPr>
          <w:p w14:paraId="609D68A0" w14:textId="77777777" w:rsidR="00291E5E" w:rsidRPr="00291E5E" w:rsidRDefault="00291E5E" w:rsidP="00B12301">
            <w:pPr>
              <w:pStyle w:val="ARTableHeader"/>
            </w:pPr>
            <w:r w:rsidRPr="00291E5E">
              <w:t>Number of complaints</w:t>
            </w:r>
          </w:p>
        </w:tc>
        <w:tc>
          <w:tcPr>
            <w:tcW w:w="1476" w:type="dxa"/>
            <w:shd w:val="clear" w:color="auto" w:fill="0072CE"/>
          </w:tcPr>
          <w:p w14:paraId="11C3A5A2" w14:textId="77777777" w:rsidR="00291E5E" w:rsidRPr="00291E5E" w:rsidRDefault="00291E5E" w:rsidP="00B12301">
            <w:pPr>
              <w:pStyle w:val="ARTableHeader"/>
            </w:pPr>
            <w:r w:rsidRPr="00291E5E">
              <w:t>%</w:t>
            </w:r>
          </w:p>
        </w:tc>
      </w:tr>
      <w:tr w:rsidR="00291E5E" w:rsidRPr="00291E5E" w14:paraId="2A69537A" w14:textId="77777777" w:rsidTr="00576557">
        <w:trPr>
          <w:trHeight w:val="425"/>
        </w:trPr>
        <w:tc>
          <w:tcPr>
            <w:tcW w:w="4072" w:type="dxa"/>
            <w:shd w:val="clear" w:color="auto" w:fill="E7E6E6" w:themeFill="background2"/>
          </w:tcPr>
          <w:p w14:paraId="7453B8B3" w14:textId="77777777" w:rsidR="00291E5E" w:rsidRPr="00291E5E" w:rsidRDefault="00291E5E" w:rsidP="00B369CB">
            <w:pPr>
              <w:pStyle w:val="ARTableSubhead"/>
            </w:pPr>
            <w:r w:rsidRPr="00291E5E">
              <w:t>Withdrawn by the Tribunal</w:t>
            </w:r>
          </w:p>
        </w:tc>
        <w:tc>
          <w:tcPr>
            <w:tcW w:w="2493" w:type="dxa"/>
            <w:shd w:val="clear" w:color="auto" w:fill="E7E6E6" w:themeFill="background2"/>
          </w:tcPr>
          <w:p w14:paraId="4AE1A995" w14:textId="77777777" w:rsidR="00291E5E" w:rsidRPr="00291E5E" w:rsidRDefault="00291E5E" w:rsidP="00B369CB">
            <w:pPr>
              <w:pStyle w:val="ARTableSubhead"/>
            </w:pPr>
            <w:r w:rsidRPr="00291E5E">
              <w:t>37</w:t>
            </w:r>
          </w:p>
        </w:tc>
        <w:tc>
          <w:tcPr>
            <w:tcW w:w="1476" w:type="dxa"/>
            <w:shd w:val="clear" w:color="auto" w:fill="E7E6E6" w:themeFill="background2"/>
          </w:tcPr>
          <w:p w14:paraId="4E338B06" w14:textId="77777777" w:rsidR="00291E5E" w:rsidRPr="00291E5E" w:rsidRDefault="00291E5E" w:rsidP="00B369CB">
            <w:pPr>
              <w:pStyle w:val="ARTableSubhead"/>
            </w:pPr>
            <w:r w:rsidRPr="00291E5E">
              <w:t>21.77%</w:t>
            </w:r>
          </w:p>
        </w:tc>
      </w:tr>
      <w:tr w:rsidR="00291E5E" w:rsidRPr="00291E5E" w14:paraId="05417085" w14:textId="77777777" w:rsidTr="00576557">
        <w:tc>
          <w:tcPr>
            <w:tcW w:w="4072" w:type="dxa"/>
          </w:tcPr>
          <w:p w14:paraId="25B4312F" w14:textId="77777777" w:rsidR="00291E5E" w:rsidRPr="00291E5E" w:rsidRDefault="00291E5E" w:rsidP="00B12301">
            <w:pPr>
              <w:pStyle w:val="ARTableText"/>
            </w:pPr>
            <w:r w:rsidRPr="00291E5E">
              <w:t>Complainant does not wish to proceed</w:t>
            </w:r>
          </w:p>
        </w:tc>
        <w:tc>
          <w:tcPr>
            <w:tcW w:w="2493" w:type="dxa"/>
          </w:tcPr>
          <w:p w14:paraId="0CCFA4F4" w14:textId="77777777" w:rsidR="00291E5E" w:rsidRPr="00291E5E" w:rsidRDefault="00291E5E" w:rsidP="00B12301">
            <w:pPr>
              <w:pStyle w:val="ARTableText"/>
            </w:pPr>
            <w:r w:rsidRPr="00291E5E">
              <w:t>7</w:t>
            </w:r>
          </w:p>
        </w:tc>
        <w:tc>
          <w:tcPr>
            <w:tcW w:w="1476" w:type="dxa"/>
          </w:tcPr>
          <w:p w14:paraId="14F7E60E" w14:textId="77777777" w:rsidR="00291E5E" w:rsidRPr="00291E5E" w:rsidRDefault="00291E5E" w:rsidP="00B12301">
            <w:pPr>
              <w:pStyle w:val="ARTableText"/>
            </w:pPr>
          </w:p>
        </w:tc>
      </w:tr>
      <w:tr w:rsidR="00291E5E" w:rsidRPr="00291E5E" w14:paraId="6635AD60" w14:textId="77777777" w:rsidTr="00576557">
        <w:tc>
          <w:tcPr>
            <w:tcW w:w="4072" w:type="dxa"/>
          </w:tcPr>
          <w:p w14:paraId="3A865218" w14:textId="77777777" w:rsidR="00291E5E" w:rsidRPr="00291E5E" w:rsidRDefault="00291E5E" w:rsidP="00B12301">
            <w:pPr>
              <w:pStyle w:val="ARTableText"/>
            </w:pPr>
            <w:r w:rsidRPr="00291E5E">
              <w:t>Lacking in substance</w:t>
            </w:r>
          </w:p>
        </w:tc>
        <w:tc>
          <w:tcPr>
            <w:tcW w:w="2493" w:type="dxa"/>
          </w:tcPr>
          <w:p w14:paraId="4E0829E6" w14:textId="77777777" w:rsidR="00291E5E" w:rsidRPr="00291E5E" w:rsidRDefault="00291E5E" w:rsidP="00B12301">
            <w:pPr>
              <w:pStyle w:val="ARTableText"/>
            </w:pPr>
            <w:r w:rsidRPr="00291E5E">
              <w:t>26</w:t>
            </w:r>
          </w:p>
        </w:tc>
        <w:tc>
          <w:tcPr>
            <w:tcW w:w="1476" w:type="dxa"/>
          </w:tcPr>
          <w:p w14:paraId="2A3C4BD3" w14:textId="77777777" w:rsidR="00291E5E" w:rsidRPr="00291E5E" w:rsidRDefault="00291E5E" w:rsidP="00B12301">
            <w:pPr>
              <w:pStyle w:val="ARTableText"/>
            </w:pPr>
          </w:p>
        </w:tc>
      </w:tr>
      <w:tr w:rsidR="00291E5E" w:rsidRPr="00291E5E" w14:paraId="2EF13BD4" w14:textId="77777777" w:rsidTr="00576557">
        <w:tc>
          <w:tcPr>
            <w:tcW w:w="4072" w:type="dxa"/>
          </w:tcPr>
          <w:p w14:paraId="34491FE8" w14:textId="77777777" w:rsidR="00291E5E" w:rsidRPr="00291E5E" w:rsidRDefault="00291E5E" w:rsidP="00B12301">
            <w:pPr>
              <w:pStyle w:val="ARTableText"/>
            </w:pPr>
            <w:r w:rsidRPr="00291E5E">
              <w:t>Misconceived</w:t>
            </w:r>
          </w:p>
        </w:tc>
        <w:tc>
          <w:tcPr>
            <w:tcW w:w="2493" w:type="dxa"/>
          </w:tcPr>
          <w:p w14:paraId="7459CD90" w14:textId="77777777" w:rsidR="00291E5E" w:rsidRPr="00291E5E" w:rsidRDefault="00291E5E" w:rsidP="00B12301">
            <w:pPr>
              <w:pStyle w:val="ARTableText"/>
            </w:pPr>
            <w:r w:rsidRPr="00291E5E">
              <w:t>4</w:t>
            </w:r>
          </w:p>
        </w:tc>
        <w:tc>
          <w:tcPr>
            <w:tcW w:w="1476" w:type="dxa"/>
          </w:tcPr>
          <w:p w14:paraId="342FF5B0" w14:textId="77777777" w:rsidR="00291E5E" w:rsidRPr="00291E5E" w:rsidRDefault="00291E5E" w:rsidP="00B12301">
            <w:pPr>
              <w:pStyle w:val="ARTableText"/>
            </w:pPr>
          </w:p>
        </w:tc>
      </w:tr>
      <w:tr w:rsidR="00291E5E" w:rsidRPr="00291E5E" w14:paraId="431A0333" w14:textId="77777777" w:rsidTr="00576557">
        <w:trPr>
          <w:trHeight w:val="411"/>
        </w:trPr>
        <w:tc>
          <w:tcPr>
            <w:tcW w:w="4072" w:type="dxa"/>
            <w:shd w:val="clear" w:color="auto" w:fill="E7E6E6" w:themeFill="background2"/>
          </w:tcPr>
          <w:p w14:paraId="7790F427" w14:textId="77777777" w:rsidR="00291E5E" w:rsidRPr="00291E5E" w:rsidRDefault="00291E5E" w:rsidP="00B369CB">
            <w:pPr>
              <w:pStyle w:val="ARTableSubhead"/>
            </w:pPr>
            <w:r w:rsidRPr="00291E5E">
              <w:t>Withdrawn by complainant</w:t>
            </w:r>
          </w:p>
        </w:tc>
        <w:tc>
          <w:tcPr>
            <w:tcW w:w="2493" w:type="dxa"/>
            <w:shd w:val="clear" w:color="auto" w:fill="E7E6E6" w:themeFill="background2"/>
          </w:tcPr>
          <w:p w14:paraId="0EF36898" w14:textId="77777777" w:rsidR="00291E5E" w:rsidRPr="00291E5E" w:rsidRDefault="00291E5E" w:rsidP="00B369CB">
            <w:pPr>
              <w:pStyle w:val="ARTableSubhead"/>
            </w:pPr>
            <w:r w:rsidRPr="00291E5E">
              <w:t>26</w:t>
            </w:r>
          </w:p>
        </w:tc>
        <w:tc>
          <w:tcPr>
            <w:tcW w:w="1476" w:type="dxa"/>
            <w:shd w:val="clear" w:color="auto" w:fill="E7E6E6" w:themeFill="background2"/>
          </w:tcPr>
          <w:p w14:paraId="2B003C67" w14:textId="77777777" w:rsidR="00291E5E" w:rsidRPr="00291E5E" w:rsidRDefault="00291E5E" w:rsidP="00B369CB">
            <w:pPr>
              <w:pStyle w:val="ARTableSubhead"/>
            </w:pPr>
            <w:r w:rsidRPr="00291E5E">
              <w:t>15.29%</w:t>
            </w:r>
          </w:p>
        </w:tc>
      </w:tr>
      <w:tr w:rsidR="00291E5E" w:rsidRPr="00291E5E" w14:paraId="230277A8" w14:textId="77777777" w:rsidTr="00576557">
        <w:tc>
          <w:tcPr>
            <w:tcW w:w="4072" w:type="dxa"/>
          </w:tcPr>
          <w:p w14:paraId="57F995D1" w14:textId="77777777" w:rsidR="00291E5E" w:rsidRPr="00291E5E" w:rsidRDefault="00291E5E" w:rsidP="00B12301">
            <w:pPr>
              <w:pStyle w:val="ARTableText"/>
            </w:pPr>
            <w:r w:rsidRPr="00291E5E">
              <w:t>Before conciliation conference</w:t>
            </w:r>
          </w:p>
        </w:tc>
        <w:tc>
          <w:tcPr>
            <w:tcW w:w="2493" w:type="dxa"/>
          </w:tcPr>
          <w:p w14:paraId="1CF5480C" w14:textId="77777777" w:rsidR="00291E5E" w:rsidRPr="00291E5E" w:rsidRDefault="00291E5E" w:rsidP="00B12301">
            <w:pPr>
              <w:pStyle w:val="ARTableText"/>
            </w:pPr>
            <w:r w:rsidRPr="00291E5E">
              <w:t>3</w:t>
            </w:r>
          </w:p>
        </w:tc>
        <w:tc>
          <w:tcPr>
            <w:tcW w:w="1476" w:type="dxa"/>
          </w:tcPr>
          <w:p w14:paraId="08D9B507" w14:textId="77777777" w:rsidR="00291E5E" w:rsidRPr="00291E5E" w:rsidRDefault="00291E5E" w:rsidP="00B12301">
            <w:pPr>
              <w:pStyle w:val="ARTableText"/>
            </w:pPr>
          </w:p>
        </w:tc>
      </w:tr>
      <w:tr w:rsidR="00291E5E" w:rsidRPr="00291E5E" w14:paraId="15DF7DA9" w14:textId="77777777" w:rsidTr="00576557">
        <w:tc>
          <w:tcPr>
            <w:tcW w:w="4072" w:type="dxa"/>
          </w:tcPr>
          <w:p w14:paraId="30B51EA8" w14:textId="77777777" w:rsidR="00291E5E" w:rsidRPr="00291E5E" w:rsidRDefault="00291E5E" w:rsidP="00B12301">
            <w:pPr>
              <w:pStyle w:val="ARTableText"/>
            </w:pPr>
            <w:r w:rsidRPr="00291E5E">
              <w:t>After conciliation conference</w:t>
            </w:r>
          </w:p>
        </w:tc>
        <w:tc>
          <w:tcPr>
            <w:tcW w:w="2493" w:type="dxa"/>
          </w:tcPr>
          <w:p w14:paraId="2F65D678" w14:textId="77777777" w:rsidR="00291E5E" w:rsidRPr="00291E5E" w:rsidRDefault="00291E5E" w:rsidP="00B12301">
            <w:pPr>
              <w:pStyle w:val="ARTableText"/>
            </w:pPr>
            <w:r w:rsidRPr="00291E5E">
              <w:t>17</w:t>
            </w:r>
          </w:p>
        </w:tc>
        <w:tc>
          <w:tcPr>
            <w:tcW w:w="1476" w:type="dxa"/>
          </w:tcPr>
          <w:p w14:paraId="70E17F59" w14:textId="77777777" w:rsidR="00291E5E" w:rsidRPr="00291E5E" w:rsidRDefault="00291E5E" w:rsidP="00B12301">
            <w:pPr>
              <w:pStyle w:val="ARTableText"/>
            </w:pPr>
          </w:p>
        </w:tc>
      </w:tr>
      <w:tr w:rsidR="00291E5E" w:rsidRPr="00291E5E" w14:paraId="26738C3F" w14:textId="77777777" w:rsidTr="00576557">
        <w:tc>
          <w:tcPr>
            <w:tcW w:w="4072" w:type="dxa"/>
          </w:tcPr>
          <w:p w14:paraId="39E4677B" w14:textId="77777777" w:rsidR="00291E5E" w:rsidRPr="00291E5E" w:rsidRDefault="00291E5E" w:rsidP="00B12301">
            <w:pPr>
              <w:pStyle w:val="ARTableText"/>
            </w:pPr>
            <w:r w:rsidRPr="00291E5E">
              <w:t>After listing for review</w:t>
            </w:r>
          </w:p>
        </w:tc>
        <w:tc>
          <w:tcPr>
            <w:tcW w:w="2493" w:type="dxa"/>
          </w:tcPr>
          <w:p w14:paraId="0A629E2C" w14:textId="77777777" w:rsidR="00291E5E" w:rsidRPr="00291E5E" w:rsidRDefault="00291E5E" w:rsidP="00B12301">
            <w:pPr>
              <w:pStyle w:val="ARTableText"/>
            </w:pPr>
            <w:r w:rsidRPr="00291E5E">
              <w:t>2</w:t>
            </w:r>
          </w:p>
        </w:tc>
        <w:tc>
          <w:tcPr>
            <w:tcW w:w="1476" w:type="dxa"/>
          </w:tcPr>
          <w:p w14:paraId="045AB237" w14:textId="77777777" w:rsidR="00291E5E" w:rsidRPr="00291E5E" w:rsidRDefault="00291E5E" w:rsidP="00B12301">
            <w:pPr>
              <w:pStyle w:val="ARTableText"/>
            </w:pPr>
          </w:p>
        </w:tc>
      </w:tr>
      <w:tr w:rsidR="00291E5E" w:rsidRPr="00291E5E" w14:paraId="67D7844F" w14:textId="77777777" w:rsidTr="00576557">
        <w:tc>
          <w:tcPr>
            <w:tcW w:w="4072" w:type="dxa"/>
          </w:tcPr>
          <w:p w14:paraId="39D8236E" w14:textId="77777777" w:rsidR="00291E5E" w:rsidRPr="00291E5E" w:rsidRDefault="00291E5E" w:rsidP="00B12301">
            <w:pPr>
              <w:pStyle w:val="ARTableText"/>
            </w:pPr>
            <w:r w:rsidRPr="00291E5E">
              <w:t>Without resolution</w:t>
            </w:r>
          </w:p>
        </w:tc>
        <w:tc>
          <w:tcPr>
            <w:tcW w:w="2493" w:type="dxa"/>
          </w:tcPr>
          <w:p w14:paraId="33D404EF" w14:textId="77777777" w:rsidR="00291E5E" w:rsidRPr="00291E5E" w:rsidRDefault="00291E5E" w:rsidP="00B12301">
            <w:pPr>
              <w:pStyle w:val="ARTableText"/>
            </w:pPr>
            <w:r w:rsidRPr="00291E5E">
              <w:t>4</w:t>
            </w:r>
          </w:p>
        </w:tc>
        <w:tc>
          <w:tcPr>
            <w:tcW w:w="1476" w:type="dxa"/>
          </w:tcPr>
          <w:p w14:paraId="67CE13B9" w14:textId="77777777" w:rsidR="00291E5E" w:rsidRPr="00291E5E" w:rsidRDefault="00291E5E" w:rsidP="00B12301">
            <w:pPr>
              <w:pStyle w:val="ARTableText"/>
            </w:pPr>
          </w:p>
        </w:tc>
      </w:tr>
      <w:tr w:rsidR="00291E5E" w:rsidRPr="00291E5E" w14:paraId="0CED080D" w14:textId="77777777" w:rsidTr="00576557">
        <w:trPr>
          <w:trHeight w:val="410"/>
        </w:trPr>
        <w:tc>
          <w:tcPr>
            <w:tcW w:w="4072" w:type="dxa"/>
            <w:shd w:val="clear" w:color="auto" w:fill="E7E6E6" w:themeFill="background2"/>
          </w:tcPr>
          <w:p w14:paraId="51FBBE50" w14:textId="77777777" w:rsidR="00291E5E" w:rsidRPr="00291E5E" w:rsidRDefault="00291E5E" w:rsidP="00B369CB">
            <w:pPr>
              <w:pStyle w:val="ARTableSubhead"/>
            </w:pPr>
            <w:r w:rsidRPr="00291E5E">
              <w:t>Review matters determined</w:t>
            </w:r>
          </w:p>
        </w:tc>
        <w:tc>
          <w:tcPr>
            <w:tcW w:w="2493" w:type="dxa"/>
            <w:shd w:val="clear" w:color="auto" w:fill="E7E6E6" w:themeFill="background2"/>
          </w:tcPr>
          <w:p w14:paraId="41C0E751" w14:textId="77777777" w:rsidR="00291E5E" w:rsidRPr="00291E5E" w:rsidRDefault="00291E5E" w:rsidP="00B369CB">
            <w:pPr>
              <w:pStyle w:val="ARTableSubhead"/>
            </w:pPr>
            <w:r w:rsidRPr="00291E5E">
              <w:t>107</w:t>
            </w:r>
          </w:p>
        </w:tc>
        <w:tc>
          <w:tcPr>
            <w:tcW w:w="1476" w:type="dxa"/>
            <w:shd w:val="clear" w:color="auto" w:fill="E7E6E6" w:themeFill="background2"/>
          </w:tcPr>
          <w:p w14:paraId="2076E99E" w14:textId="77777777" w:rsidR="00291E5E" w:rsidRPr="00291E5E" w:rsidRDefault="00291E5E" w:rsidP="00B369CB">
            <w:pPr>
              <w:pStyle w:val="ARTableSubhead"/>
            </w:pPr>
            <w:r w:rsidRPr="00291E5E">
              <w:t>62.94%</w:t>
            </w:r>
          </w:p>
        </w:tc>
      </w:tr>
      <w:tr w:rsidR="00291E5E" w:rsidRPr="00291E5E" w14:paraId="77716003" w14:textId="77777777" w:rsidTr="00576557">
        <w:tc>
          <w:tcPr>
            <w:tcW w:w="4072" w:type="dxa"/>
          </w:tcPr>
          <w:p w14:paraId="7C5A904B" w14:textId="77777777" w:rsidR="00291E5E" w:rsidRPr="00291E5E" w:rsidRDefault="00291E5E" w:rsidP="00B12301">
            <w:pPr>
              <w:pStyle w:val="ARTableText"/>
            </w:pPr>
            <w:r w:rsidRPr="00291E5E">
              <w:t>Decision affirmed</w:t>
            </w:r>
          </w:p>
        </w:tc>
        <w:tc>
          <w:tcPr>
            <w:tcW w:w="2493" w:type="dxa"/>
          </w:tcPr>
          <w:p w14:paraId="395E8894" w14:textId="77777777" w:rsidR="00291E5E" w:rsidRPr="00291E5E" w:rsidRDefault="00291E5E" w:rsidP="00B12301">
            <w:pPr>
              <w:pStyle w:val="ARTableText"/>
            </w:pPr>
            <w:r w:rsidRPr="00291E5E">
              <w:t>80</w:t>
            </w:r>
          </w:p>
        </w:tc>
        <w:tc>
          <w:tcPr>
            <w:tcW w:w="1476" w:type="dxa"/>
          </w:tcPr>
          <w:p w14:paraId="7AAA6F01" w14:textId="77777777" w:rsidR="00291E5E" w:rsidRPr="00291E5E" w:rsidRDefault="00291E5E" w:rsidP="00B12301">
            <w:pPr>
              <w:pStyle w:val="ARTableText"/>
              <w:rPr>
                <w:highlight w:val="yellow"/>
              </w:rPr>
            </w:pPr>
          </w:p>
        </w:tc>
      </w:tr>
      <w:tr w:rsidR="00291E5E" w:rsidRPr="00291E5E" w14:paraId="7F220E8B" w14:textId="77777777" w:rsidTr="00576557">
        <w:tc>
          <w:tcPr>
            <w:tcW w:w="4072" w:type="dxa"/>
          </w:tcPr>
          <w:p w14:paraId="537D4D99" w14:textId="77777777" w:rsidR="00291E5E" w:rsidRPr="00291E5E" w:rsidRDefault="00291E5E" w:rsidP="00B12301">
            <w:pPr>
              <w:pStyle w:val="ARTableText"/>
            </w:pPr>
            <w:r w:rsidRPr="00291E5E">
              <w:t>Decision varied</w:t>
            </w:r>
          </w:p>
        </w:tc>
        <w:tc>
          <w:tcPr>
            <w:tcW w:w="2493" w:type="dxa"/>
          </w:tcPr>
          <w:p w14:paraId="0916BFD3" w14:textId="77777777" w:rsidR="00291E5E" w:rsidRPr="00291E5E" w:rsidRDefault="00291E5E" w:rsidP="00B12301">
            <w:pPr>
              <w:pStyle w:val="ARTableText"/>
            </w:pPr>
            <w:r w:rsidRPr="00291E5E">
              <w:t>1</w:t>
            </w:r>
          </w:p>
        </w:tc>
        <w:tc>
          <w:tcPr>
            <w:tcW w:w="1476" w:type="dxa"/>
          </w:tcPr>
          <w:p w14:paraId="48C9C1F1" w14:textId="77777777" w:rsidR="00291E5E" w:rsidRPr="00291E5E" w:rsidRDefault="00291E5E" w:rsidP="00B12301">
            <w:pPr>
              <w:pStyle w:val="ARTableText"/>
            </w:pPr>
          </w:p>
        </w:tc>
      </w:tr>
      <w:tr w:rsidR="00291E5E" w:rsidRPr="00291E5E" w14:paraId="3AD9918F" w14:textId="77777777" w:rsidTr="00576557">
        <w:tc>
          <w:tcPr>
            <w:tcW w:w="4072" w:type="dxa"/>
          </w:tcPr>
          <w:p w14:paraId="5894DC16" w14:textId="77777777" w:rsidR="00291E5E" w:rsidRPr="00291E5E" w:rsidRDefault="00291E5E" w:rsidP="00B12301">
            <w:pPr>
              <w:pStyle w:val="ARTableText"/>
            </w:pPr>
            <w:r w:rsidRPr="00291E5E">
              <w:t>Decision set aside</w:t>
            </w:r>
          </w:p>
        </w:tc>
        <w:tc>
          <w:tcPr>
            <w:tcW w:w="2493" w:type="dxa"/>
          </w:tcPr>
          <w:p w14:paraId="61CC1FEA" w14:textId="77777777" w:rsidR="00291E5E" w:rsidRPr="00291E5E" w:rsidRDefault="00291E5E" w:rsidP="00B12301">
            <w:pPr>
              <w:pStyle w:val="ARTableText"/>
            </w:pPr>
            <w:r w:rsidRPr="00291E5E">
              <w:t>25</w:t>
            </w:r>
          </w:p>
        </w:tc>
        <w:tc>
          <w:tcPr>
            <w:tcW w:w="1476" w:type="dxa"/>
          </w:tcPr>
          <w:p w14:paraId="6EF151BC" w14:textId="77777777" w:rsidR="00291E5E" w:rsidRPr="00291E5E" w:rsidRDefault="00291E5E" w:rsidP="00B12301">
            <w:pPr>
              <w:pStyle w:val="ARTableText"/>
            </w:pPr>
          </w:p>
        </w:tc>
      </w:tr>
      <w:tr w:rsidR="00291E5E" w:rsidRPr="00B12301" w14:paraId="6D704349" w14:textId="77777777" w:rsidTr="00576557">
        <w:trPr>
          <w:trHeight w:val="369"/>
        </w:trPr>
        <w:tc>
          <w:tcPr>
            <w:tcW w:w="4072" w:type="dxa"/>
            <w:shd w:val="clear" w:color="auto" w:fill="E7E6E6" w:themeFill="background2"/>
          </w:tcPr>
          <w:p w14:paraId="47B1E2F5" w14:textId="77777777" w:rsidR="00291E5E" w:rsidRPr="00B12301" w:rsidRDefault="00291E5E" w:rsidP="00B369CB">
            <w:pPr>
              <w:pStyle w:val="ARTableSubhead"/>
            </w:pPr>
            <w:r w:rsidRPr="00B12301">
              <w:t>Outside of jurisdiction</w:t>
            </w:r>
          </w:p>
        </w:tc>
        <w:tc>
          <w:tcPr>
            <w:tcW w:w="2493" w:type="dxa"/>
            <w:shd w:val="clear" w:color="auto" w:fill="E7E6E6" w:themeFill="background2"/>
          </w:tcPr>
          <w:p w14:paraId="0E5C99D6" w14:textId="77777777" w:rsidR="00291E5E" w:rsidRPr="00B12301" w:rsidRDefault="00291E5E" w:rsidP="00B369CB">
            <w:pPr>
              <w:pStyle w:val="ARTableSubhead"/>
            </w:pPr>
            <w:r w:rsidRPr="00B12301">
              <w:t>1</w:t>
            </w:r>
          </w:p>
        </w:tc>
        <w:tc>
          <w:tcPr>
            <w:tcW w:w="1476" w:type="dxa"/>
            <w:shd w:val="clear" w:color="auto" w:fill="E7E6E6" w:themeFill="background2"/>
          </w:tcPr>
          <w:p w14:paraId="11866F80" w14:textId="77777777" w:rsidR="00291E5E" w:rsidRPr="00B12301" w:rsidRDefault="00291E5E" w:rsidP="00B369CB">
            <w:pPr>
              <w:pStyle w:val="ARTableSubhead"/>
            </w:pPr>
          </w:p>
        </w:tc>
      </w:tr>
      <w:tr w:rsidR="00291E5E" w:rsidRPr="00B12301" w14:paraId="0AC73E2C" w14:textId="77777777" w:rsidTr="00576557">
        <w:trPr>
          <w:trHeight w:val="369"/>
        </w:trPr>
        <w:tc>
          <w:tcPr>
            <w:tcW w:w="4072" w:type="dxa"/>
            <w:shd w:val="clear" w:color="auto" w:fill="auto"/>
          </w:tcPr>
          <w:p w14:paraId="06D233CB" w14:textId="77777777" w:rsidR="00291E5E" w:rsidRPr="00B12301" w:rsidRDefault="00291E5E" w:rsidP="00B12301">
            <w:pPr>
              <w:pStyle w:val="ARTableText"/>
            </w:pPr>
            <w:r w:rsidRPr="00B12301">
              <w:t>Total number of complaints closed</w:t>
            </w:r>
          </w:p>
        </w:tc>
        <w:tc>
          <w:tcPr>
            <w:tcW w:w="2493" w:type="dxa"/>
            <w:shd w:val="clear" w:color="auto" w:fill="auto"/>
          </w:tcPr>
          <w:p w14:paraId="4919B85B" w14:textId="77777777" w:rsidR="00291E5E" w:rsidRPr="00B12301" w:rsidRDefault="00291E5E" w:rsidP="00B12301">
            <w:pPr>
              <w:pStyle w:val="ARTableText"/>
            </w:pPr>
            <w:r w:rsidRPr="00B12301">
              <w:t>170</w:t>
            </w:r>
          </w:p>
        </w:tc>
        <w:tc>
          <w:tcPr>
            <w:tcW w:w="1476" w:type="dxa"/>
            <w:shd w:val="clear" w:color="auto" w:fill="auto"/>
          </w:tcPr>
          <w:p w14:paraId="7AC24B14" w14:textId="77777777" w:rsidR="00291E5E" w:rsidRPr="00B12301" w:rsidRDefault="00291E5E" w:rsidP="00B12301">
            <w:pPr>
              <w:pStyle w:val="ARTableText"/>
            </w:pPr>
            <w:r w:rsidRPr="00B12301">
              <w:t>100%</w:t>
            </w:r>
          </w:p>
        </w:tc>
      </w:tr>
    </w:tbl>
    <w:p w14:paraId="1FD46967" w14:textId="77777777" w:rsidR="00291E5E" w:rsidRPr="00291E5E" w:rsidRDefault="00291E5E" w:rsidP="00B12301"/>
    <w:p w14:paraId="32DC5D06" w14:textId="77777777" w:rsidR="00291E5E" w:rsidRPr="00291E5E" w:rsidRDefault="00291E5E" w:rsidP="00B12301">
      <w:r w:rsidRPr="00291E5E">
        <w:br w:type="page"/>
      </w:r>
    </w:p>
    <w:p w14:paraId="4AE98965" w14:textId="135C16EC" w:rsidR="00291E5E" w:rsidRPr="00291E5E" w:rsidRDefault="00291E5E" w:rsidP="00D579F2">
      <w:pPr>
        <w:pStyle w:val="ARH1-Mainsectionheading"/>
      </w:pPr>
      <w:bookmarkStart w:id="20" w:name="_Toc82442773"/>
      <w:r w:rsidRPr="00FD6863">
        <w:lastRenderedPageBreak/>
        <w:t>Conciliation</w:t>
      </w:r>
      <w:bookmarkStart w:id="21" w:name="_Hlk47523337"/>
      <w:bookmarkEnd w:id="20"/>
    </w:p>
    <w:p w14:paraId="7C48B5D7" w14:textId="77777777" w:rsidR="00291E5E" w:rsidRPr="00291E5E" w:rsidRDefault="00291E5E" w:rsidP="00B12301">
      <w:pPr>
        <w:rPr>
          <w:rFonts w:ascii="Calibri" w:hAnsi="Calibri"/>
        </w:rPr>
      </w:pPr>
      <w:r w:rsidRPr="00291E5E">
        <w:t xml:space="preserve">The Tribunal held eight conciliation conferences in 2020–21. </w:t>
      </w:r>
    </w:p>
    <w:bookmarkEnd w:id="21"/>
    <w:p w14:paraId="7B6561DC" w14:textId="77777777" w:rsidR="00291E5E" w:rsidRPr="00291E5E" w:rsidRDefault="00291E5E" w:rsidP="00B12301">
      <w:pPr>
        <w:pStyle w:val="ARTableFigureTitle"/>
      </w:pPr>
      <w:r w:rsidRPr="00291E5E">
        <w:t>Table 6.6 Conciliation conferences held in 2020–21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2"/>
        <w:gridCol w:w="1221"/>
        <w:gridCol w:w="1198"/>
        <w:gridCol w:w="1085"/>
        <w:gridCol w:w="1140"/>
      </w:tblGrid>
      <w:tr w:rsidR="00291E5E" w:rsidRPr="00291E5E" w14:paraId="4100B8D2" w14:textId="77777777" w:rsidTr="00576557">
        <w:tc>
          <w:tcPr>
            <w:tcW w:w="3869" w:type="dxa"/>
            <w:shd w:val="clear" w:color="auto" w:fill="0072CE"/>
            <w:tcMar>
              <w:top w:w="0" w:type="dxa"/>
              <w:left w:w="108" w:type="dxa"/>
              <w:bottom w:w="0" w:type="dxa"/>
              <w:right w:w="108" w:type="dxa"/>
            </w:tcMar>
          </w:tcPr>
          <w:p w14:paraId="7B68235D" w14:textId="77777777" w:rsidR="00291E5E" w:rsidRPr="00291E5E" w:rsidRDefault="00291E5E" w:rsidP="00B12301">
            <w:pPr>
              <w:pStyle w:val="ARTableHeader"/>
            </w:pPr>
            <w:bookmarkStart w:id="22" w:name="_Hlk46302675"/>
          </w:p>
        </w:tc>
        <w:tc>
          <w:tcPr>
            <w:tcW w:w="2141" w:type="dxa"/>
            <w:gridSpan w:val="2"/>
            <w:shd w:val="clear" w:color="auto" w:fill="0072CE"/>
            <w:tcMar>
              <w:top w:w="0" w:type="dxa"/>
              <w:left w:w="108" w:type="dxa"/>
              <w:bottom w:w="0" w:type="dxa"/>
              <w:right w:w="108" w:type="dxa"/>
            </w:tcMar>
          </w:tcPr>
          <w:p w14:paraId="65219D18" w14:textId="77777777" w:rsidR="00291E5E" w:rsidRPr="00291E5E" w:rsidRDefault="00291E5E" w:rsidP="00B12301">
            <w:pPr>
              <w:pStyle w:val="ARTableHeader"/>
            </w:pPr>
            <w:r w:rsidRPr="00291E5E">
              <w:t>2020–21</w:t>
            </w:r>
          </w:p>
        </w:tc>
        <w:tc>
          <w:tcPr>
            <w:tcW w:w="1969" w:type="dxa"/>
            <w:gridSpan w:val="2"/>
            <w:shd w:val="clear" w:color="auto" w:fill="0072CE"/>
            <w:tcMar>
              <w:top w:w="0" w:type="dxa"/>
              <w:left w:w="108" w:type="dxa"/>
              <w:bottom w:w="0" w:type="dxa"/>
              <w:right w:w="108" w:type="dxa"/>
            </w:tcMar>
          </w:tcPr>
          <w:p w14:paraId="55949ABA" w14:textId="77777777" w:rsidR="00291E5E" w:rsidRPr="00291E5E" w:rsidRDefault="00291E5E" w:rsidP="00B12301">
            <w:pPr>
              <w:pStyle w:val="ARTableHeader"/>
            </w:pPr>
            <w:r w:rsidRPr="00291E5E">
              <w:t>2019–20</w:t>
            </w:r>
          </w:p>
        </w:tc>
      </w:tr>
      <w:tr w:rsidR="00291E5E" w:rsidRPr="00291E5E" w14:paraId="59387125" w14:textId="77777777" w:rsidTr="00576557">
        <w:tc>
          <w:tcPr>
            <w:tcW w:w="3869" w:type="dxa"/>
            <w:shd w:val="clear" w:color="auto" w:fill="0072CE"/>
            <w:tcMar>
              <w:top w:w="0" w:type="dxa"/>
              <w:left w:w="108" w:type="dxa"/>
              <w:bottom w:w="0" w:type="dxa"/>
              <w:right w:w="108" w:type="dxa"/>
            </w:tcMar>
          </w:tcPr>
          <w:p w14:paraId="53BF35AB" w14:textId="77777777" w:rsidR="00291E5E" w:rsidRPr="00291E5E" w:rsidRDefault="00291E5E" w:rsidP="00B12301">
            <w:pPr>
              <w:pStyle w:val="ARTableHeader"/>
            </w:pPr>
          </w:p>
        </w:tc>
        <w:tc>
          <w:tcPr>
            <w:tcW w:w="1081" w:type="dxa"/>
            <w:shd w:val="clear" w:color="auto" w:fill="0072CE"/>
            <w:tcMar>
              <w:top w:w="0" w:type="dxa"/>
              <w:left w:w="108" w:type="dxa"/>
              <w:bottom w:w="0" w:type="dxa"/>
              <w:right w:w="108" w:type="dxa"/>
            </w:tcMar>
          </w:tcPr>
          <w:p w14:paraId="697AB1BE" w14:textId="77777777" w:rsidR="00291E5E" w:rsidRPr="00291E5E" w:rsidRDefault="00291E5E" w:rsidP="00B12301">
            <w:pPr>
              <w:pStyle w:val="ARTableHeader"/>
            </w:pPr>
            <w:r w:rsidRPr="00291E5E">
              <w:t>Number</w:t>
            </w:r>
          </w:p>
        </w:tc>
        <w:tc>
          <w:tcPr>
            <w:tcW w:w="1060" w:type="dxa"/>
            <w:shd w:val="clear" w:color="auto" w:fill="0072CE"/>
            <w:tcMar>
              <w:top w:w="0" w:type="dxa"/>
              <w:left w:w="108" w:type="dxa"/>
              <w:bottom w:w="0" w:type="dxa"/>
              <w:right w:w="108" w:type="dxa"/>
            </w:tcMar>
          </w:tcPr>
          <w:p w14:paraId="2301B0F3" w14:textId="77777777" w:rsidR="00291E5E" w:rsidRPr="00291E5E" w:rsidRDefault="00291E5E" w:rsidP="00B12301">
            <w:pPr>
              <w:pStyle w:val="ARTableHeader"/>
            </w:pPr>
            <w:r w:rsidRPr="00291E5E">
              <w:t>%</w:t>
            </w:r>
          </w:p>
        </w:tc>
        <w:tc>
          <w:tcPr>
            <w:tcW w:w="960" w:type="dxa"/>
            <w:shd w:val="clear" w:color="auto" w:fill="0072CE"/>
            <w:tcMar>
              <w:top w:w="0" w:type="dxa"/>
              <w:left w:w="108" w:type="dxa"/>
              <w:bottom w:w="0" w:type="dxa"/>
              <w:right w:w="108" w:type="dxa"/>
            </w:tcMar>
          </w:tcPr>
          <w:p w14:paraId="12EE1579" w14:textId="77777777" w:rsidR="00291E5E" w:rsidRPr="00291E5E" w:rsidRDefault="00291E5E" w:rsidP="00B12301">
            <w:pPr>
              <w:pStyle w:val="ARTableHeader"/>
            </w:pPr>
            <w:r w:rsidRPr="00291E5E">
              <w:t>Number</w:t>
            </w:r>
          </w:p>
        </w:tc>
        <w:tc>
          <w:tcPr>
            <w:tcW w:w="1009" w:type="dxa"/>
            <w:shd w:val="clear" w:color="auto" w:fill="0072CE"/>
            <w:tcMar>
              <w:top w:w="0" w:type="dxa"/>
              <w:left w:w="108" w:type="dxa"/>
              <w:bottom w:w="0" w:type="dxa"/>
              <w:right w:w="108" w:type="dxa"/>
            </w:tcMar>
          </w:tcPr>
          <w:p w14:paraId="52BA8977" w14:textId="77777777" w:rsidR="00291E5E" w:rsidRPr="00291E5E" w:rsidRDefault="00291E5E" w:rsidP="00B12301">
            <w:pPr>
              <w:pStyle w:val="ARTableHeader"/>
            </w:pPr>
            <w:r w:rsidRPr="00291E5E">
              <w:t>%</w:t>
            </w:r>
          </w:p>
        </w:tc>
      </w:tr>
      <w:tr w:rsidR="00291E5E" w:rsidRPr="00291E5E" w14:paraId="25D5B7FB" w14:textId="77777777" w:rsidTr="00576557">
        <w:trPr>
          <w:trHeight w:val="345"/>
        </w:trPr>
        <w:tc>
          <w:tcPr>
            <w:tcW w:w="3869" w:type="dxa"/>
            <w:shd w:val="clear" w:color="auto" w:fill="E7E6E6" w:themeFill="background2"/>
            <w:tcMar>
              <w:top w:w="0" w:type="dxa"/>
              <w:left w:w="108" w:type="dxa"/>
              <w:bottom w:w="0" w:type="dxa"/>
              <w:right w:w="108" w:type="dxa"/>
            </w:tcMar>
            <w:hideMark/>
          </w:tcPr>
          <w:p w14:paraId="65598D41" w14:textId="77777777" w:rsidR="00291E5E" w:rsidRPr="00291E5E" w:rsidRDefault="00291E5E" w:rsidP="00B369CB">
            <w:pPr>
              <w:pStyle w:val="ARTableSubhead"/>
            </w:pPr>
            <w:r w:rsidRPr="00291E5E">
              <w:t>Type</w:t>
            </w:r>
          </w:p>
        </w:tc>
        <w:tc>
          <w:tcPr>
            <w:tcW w:w="1081" w:type="dxa"/>
            <w:shd w:val="clear" w:color="auto" w:fill="E7E6E6" w:themeFill="background2"/>
            <w:tcMar>
              <w:top w:w="0" w:type="dxa"/>
              <w:left w:w="108" w:type="dxa"/>
              <w:bottom w:w="0" w:type="dxa"/>
              <w:right w:w="108" w:type="dxa"/>
            </w:tcMar>
          </w:tcPr>
          <w:p w14:paraId="378CD746" w14:textId="77777777" w:rsidR="00291E5E" w:rsidRPr="00291E5E" w:rsidRDefault="00291E5E" w:rsidP="00B369CB">
            <w:pPr>
              <w:pStyle w:val="ARTableSubhead"/>
            </w:pPr>
          </w:p>
        </w:tc>
        <w:tc>
          <w:tcPr>
            <w:tcW w:w="1060" w:type="dxa"/>
            <w:shd w:val="clear" w:color="auto" w:fill="E7E6E6" w:themeFill="background2"/>
            <w:tcMar>
              <w:top w:w="0" w:type="dxa"/>
              <w:left w:w="108" w:type="dxa"/>
              <w:bottom w:w="0" w:type="dxa"/>
              <w:right w:w="108" w:type="dxa"/>
            </w:tcMar>
          </w:tcPr>
          <w:p w14:paraId="312B580C" w14:textId="77777777" w:rsidR="00291E5E" w:rsidRPr="00291E5E" w:rsidRDefault="00291E5E" w:rsidP="00B369CB">
            <w:pPr>
              <w:pStyle w:val="ARTableSubhead"/>
            </w:pPr>
          </w:p>
        </w:tc>
        <w:tc>
          <w:tcPr>
            <w:tcW w:w="960" w:type="dxa"/>
            <w:shd w:val="clear" w:color="auto" w:fill="E7E6E6" w:themeFill="background2"/>
            <w:tcMar>
              <w:top w:w="0" w:type="dxa"/>
              <w:left w:w="108" w:type="dxa"/>
              <w:bottom w:w="0" w:type="dxa"/>
              <w:right w:w="108" w:type="dxa"/>
            </w:tcMar>
          </w:tcPr>
          <w:p w14:paraId="66DD8000" w14:textId="77777777" w:rsidR="00291E5E" w:rsidRPr="00291E5E" w:rsidRDefault="00291E5E" w:rsidP="00B369CB">
            <w:pPr>
              <w:pStyle w:val="ARTableSubhead"/>
            </w:pPr>
          </w:p>
        </w:tc>
        <w:tc>
          <w:tcPr>
            <w:tcW w:w="1009" w:type="dxa"/>
            <w:shd w:val="clear" w:color="auto" w:fill="E7E6E6" w:themeFill="background2"/>
            <w:tcMar>
              <w:top w:w="0" w:type="dxa"/>
              <w:left w:w="108" w:type="dxa"/>
              <w:bottom w:w="0" w:type="dxa"/>
              <w:right w:w="108" w:type="dxa"/>
            </w:tcMar>
          </w:tcPr>
          <w:p w14:paraId="5A847051" w14:textId="77777777" w:rsidR="00291E5E" w:rsidRPr="00291E5E" w:rsidRDefault="00291E5E" w:rsidP="00B369CB">
            <w:pPr>
              <w:pStyle w:val="ARTableSubhead"/>
            </w:pPr>
          </w:p>
        </w:tc>
      </w:tr>
      <w:tr w:rsidR="00291E5E" w:rsidRPr="00291E5E" w14:paraId="5DA9F3DD" w14:textId="77777777" w:rsidTr="00576557">
        <w:tc>
          <w:tcPr>
            <w:tcW w:w="3869" w:type="dxa"/>
            <w:tcMar>
              <w:top w:w="0" w:type="dxa"/>
              <w:left w:w="108" w:type="dxa"/>
              <w:bottom w:w="0" w:type="dxa"/>
              <w:right w:w="108" w:type="dxa"/>
            </w:tcMar>
            <w:hideMark/>
          </w:tcPr>
          <w:p w14:paraId="12FFE8E2" w14:textId="77777777" w:rsidR="00291E5E" w:rsidRPr="00291E5E" w:rsidRDefault="00291E5E" w:rsidP="00B12301">
            <w:pPr>
              <w:pStyle w:val="ARTableText"/>
            </w:pPr>
            <w:r w:rsidRPr="00291E5E">
              <w:t>Administration</w:t>
            </w:r>
          </w:p>
        </w:tc>
        <w:tc>
          <w:tcPr>
            <w:tcW w:w="1081" w:type="dxa"/>
            <w:tcMar>
              <w:top w:w="0" w:type="dxa"/>
              <w:left w:w="108" w:type="dxa"/>
              <w:bottom w:w="0" w:type="dxa"/>
              <w:right w:w="108" w:type="dxa"/>
            </w:tcMar>
          </w:tcPr>
          <w:p w14:paraId="7E95F1A0" w14:textId="77777777" w:rsidR="00291E5E" w:rsidRPr="00291E5E" w:rsidRDefault="00291E5E" w:rsidP="00B12301">
            <w:pPr>
              <w:pStyle w:val="ARTableText"/>
            </w:pPr>
            <w:r w:rsidRPr="00291E5E">
              <w:t>8</w:t>
            </w:r>
          </w:p>
        </w:tc>
        <w:tc>
          <w:tcPr>
            <w:tcW w:w="1060" w:type="dxa"/>
            <w:tcMar>
              <w:top w:w="0" w:type="dxa"/>
              <w:left w:w="108" w:type="dxa"/>
              <w:bottom w:w="0" w:type="dxa"/>
              <w:right w:w="108" w:type="dxa"/>
            </w:tcMar>
          </w:tcPr>
          <w:p w14:paraId="59638AEC" w14:textId="77777777" w:rsidR="00291E5E" w:rsidRPr="00291E5E" w:rsidRDefault="00291E5E" w:rsidP="00B12301">
            <w:pPr>
              <w:pStyle w:val="ARTableText"/>
            </w:pPr>
            <w:r w:rsidRPr="00291E5E">
              <w:t>100%</w:t>
            </w:r>
          </w:p>
        </w:tc>
        <w:tc>
          <w:tcPr>
            <w:tcW w:w="960" w:type="dxa"/>
            <w:tcMar>
              <w:top w:w="0" w:type="dxa"/>
              <w:left w:w="108" w:type="dxa"/>
              <w:bottom w:w="0" w:type="dxa"/>
              <w:right w:w="108" w:type="dxa"/>
            </w:tcMar>
          </w:tcPr>
          <w:p w14:paraId="5AD56D0E" w14:textId="77777777" w:rsidR="00291E5E" w:rsidRPr="00291E5E" w:rsidRDefault="00291E5E" w:rsidP="00B12301">
            <w:pPr>
              <w:pStyle w:val="ARTableText"/>
            </w:pPr>
            <w:r w:rsidRPr="00291E5E">
              <w:t>151</w:t>
            </w:r>
          </w:p>
        </w:tc>
        <w:tc>
          <w:tcPr>
            <w:tcW w:w="1009" w:type="dxa"/>
            <w:tcMar>
              <w:top w:w="0" w:type="dxa"/>
              <w:left w:w="108" w:type="dxa"/>
              <w:bottom w:w="0" w:type="dxa"/>
              <w:right w:w="108" w:type="dxa"/>
            </w:tcMar>
          </w:tcPr>
          <w:p w14:paraId="48C58C73" w14:textId="77777777" w:rsidR="00291E5E" w:rsidRPr="00291E5E" w:rsidRDefault="00291E5E" w:rsidP="00B12301">
            <w:pPr>
              <w:pStyle w:val="ARTableText"/>
            </w:pPr>
            <w:r w:rsidRPr="00291E5E">
              <w:t>44.3%</w:t>
            </w:r>
          </w:p>
        </w:tc>
      </w:tr>
      <w:tr w:rsidR="00291E5E" w:rsidRPr="00291E5E" w14:paraId="4140854F" w14:textId="77777777" w:rsidTr="00576557">
        <w:tc>
          <w:tcPr>
            <w:tcW w:w="3869" w:type="dxa"/>
            <w:tcMar>
              <w:top w:w="0" w:type="dxa"/>
              <w:left w:w="108" w:type="dxa"/>
              <w:bottom w:w="0" w:type="dxa"/>
              <w:right w:w="108" w:type="dxa"/>
            </w:tcMar>
            <w:hideMark/>
          </w:tcPr>
          <w:p w14:paraId="5BFD4830" w14:textId="77777777" w:rsidR="00291E5E" w:rsidRPr="00291E5E" w:rsidRDefault="00291E5E" w:rsidP="00B12301">
            <w:pPr>
              <w:pStyle w:val="ARTableText"/>
            </w:pPr>
            <w:r w:rsidRPr="00291E5E">
              <w:t>Death</w:t>
            </w:r>
          </w:p>
        </w:tc>
        <w:tc>
          <w:tcPr>
            <w:tcW w:w="1081" w:type="dxa"/>
            <w:tcMar>
              <w:top w:w="0" w:type="dxa"/>
              <w:left w:w="108" w:type="dxa"/>
              <w:bottom w:w="0" w:type="dxa"/>
              <w:right w:w="108" w:type="dxa"/>
            </w:tcMar>
          </w:tcPr>
          <w:p w14:paraId="1EC750A7" w14:textId="77777777" w:rsidR="00291E5E" w:rsidRPr="00291E5E" w:rsidRDefault="00291E5E" w:rsidP="00B12301">
            <w:pPr>
              <w:pStyle w:val="ARTableText"/>
            </w:pPr>
            <w:r w:rsidRPr="00291E5E">
              <w:t>0</w:t>
            </w:r>
          </w:p>
        </w:tc>
        <w:tc>
          <w:tcPr>
            <w:tcW w:w="1060" w:type="dxa"/>
            <w:tcMar>
              <w:top w:w="0" w:type="dxa"/>
              <w:left w:w="108" w:type="dxa"/>
              <w:bottom w:w="0" w:type="dxa"/>
              <w:right w:w="108" w:type="dxa"/>
            </w:tcMar>
          </w:tcPr>
          <w:p w14:paraId="5F6DC9C4" w14:textId="77777777" w:rsidR="00291E5E" w:rsidRPr="00291E5E" w:rsidRDefault="00291E5E" w:rsidP="00B12301">
            <w:pPr>
              <w:pStyle w:val="ARTableText"/>
            </w:pPr>
            <w:r w:rsidRPr="00291E5E">
              <w:t>0%</w:t>
            </w:r>
          </w:p>
        </w:tc>
        <w:tc>
          <w:tcPr>
            <w:tcW w:w="960" w:type="dxa"/>
            <w:tcMar>
              <w:top w:w="0" w:type="dxa"/>
              <w:left w:w="108" w:type="dxa"/>
              <w:bottom w:w="0" w:type="dxa"/>
              <w:right w:w="108" w:type="dxa"/>
            </w:tcMar>
          </w:tcPr>
          <w:p w14:paraId="11E25FC3" w14:textId="77777777" w:rsidR="00291E5E" w:rsidRPr="00291E5E" w:rsidRDefault="00291E5E" w:rsidP="00B12301">
            <w:pPr>
              <w:pStyle w:val="ARTableText"/>
            </w:pPr>
            <w:r w:rsidRPr="00291E5E">
              <w:t>74</w:t>
            </w:r>
          </w:p>
        </w:tc>
        <w:tc>
          <w:tcPr>
            <w:tcW w:w="1009" w:type="dxa"/>
            <w:tcMar>
              <w:top w:w="0" w:type="dxa"/>
              <w:left w:w="108" w:type="dxa"/>
              <w:bottom w:w="0" w:type="dxa"/>
              <w:right w:w="108" w:type="dxa"/>
            </w:tcMar>
          </w:tcPr>
          <w:p w14:paraId="34808379" w14:textId="77777777" w:rsidR="00291E5E" w:rsidRPr="00291E5E" w:rsidRDefault="00291E5E" w:rsidP="00B12301">
            <w:pPr>
              <w:pStyle w:val="ARTableText"/>
            </w:pPr>
            <w:r w:rsidRPr="00291E5E">
              <w:t>21.7%</w:t>
            </w:r>
          </w:p>
        </w:tc>
      </w:tr>
      <w:tr w:rsidR="00291E5E" w:rsidRPr="00291E5E" w14:paraId="4BCC025D" w14:textId="77777777" w:rsidTr="00576557">
        <w:trPr>
          <w:trHeight w:val="285"/>
        </w:trPr>
        <w:tc>
          <w:tcPr>
            <w:tcW w:w="3869" w:type="dxa"/>
            <w:tcMar>
              <w:top w:w="0" w:type="dxa"/>
              <w:left w:w="108" w:type="dxa"/>
              <w:bottom w:w="0" w:type="dxa"/>
              <w:right w:w="108" w:type="dxa"/>
            </w:tcMar>
            <w:hideMark/>
          </w:tcPr>
          <w:p w14:paraId="6347050F" w14:textId="77777777" w:rsidR="00291E5E" w:rsidRPr="00291E5E" w:rsidRDefault="00291E5E" w:rsidP="00B12301">
            <w:pPr>
              <w:pStyle w:val="ARTableText"/>
            </w:pPr>
            <w:r w:rsidRPr="00291E5E">
              <w:t>Disability</w:t>
            </w:r>
          </w:p>
        </w:tc>
        <w:tc>
          <w:tcPr>
            <w:tcW w:w="1081" w:type="dxa"/>
            <w:tcMar>
              <w:top w:w="0" w:type="dxa"/>
              <w:left w:w="108" w:type="dxa"/>
              <w:bottom w:w="0" w:type="dxa"/>
              <w:right w:w="108" w:type="dxa"/>
            </w:tcMar>
          </w:tcPr>
          <w:p w14:paraId="3699F6BA" w14:textId="77777777" w:rsidR="00291E5E" w:rsidRPr="00291E5E" w:rsidRDefault="00291E5E" w:rsidP="00B12301">
            <w:pPr>
              <w:pStyle w:val="ARTableText"/>
            </w:pPr>
            <w:r w:rsidRPr="00291E5E">
              <w:t>0</w:t>
            </w:r>
          </w:p>
        </w:tc>
        <w:tc>
          <w:tcPr>
            <w:tcW w:w="1060" w:type="dxa"/>
            <w:tcMar>
              <w:top w:w="0" w:type="dxa"/>
              <w:left w:w="108" w:type="dxa"/>
              <w:bottom w:w="0" w:type="dxa"/>
              <w:right w:w="108" w:type="dxa"/>
            </w:tcMar>
          </w:tcPr>
          <w:p w14:paraId="4B9B1516" w14:textId="77777777" w:rsidR="00291E5E" w:rsidRPr="00291E5E" w:rsidRDefault="00291E5E" w:rsidP="00B12301">
            <w:pPr>
              <w:pStyle w:val="ARTableText"/>
            </w:pPr>
            <w:r w:rsidRPr="00291E5E">
              <w:t>0%</w:t>
            </w:r>
          </w:p>
        </w:tc>
        <w:tc>
          <w:tcPr>
            <w:tcW w:w="960" w:type="dxa"/>
            <w:tcMar>
              <w:top w:w="0" w:type="dxa"/>
              <w:left w:w="108" w:type="dxa"/>
              <w:bottom w:w="0" w:type="dxa"/>
              <w:right w:w="108" w:type="dxa"/>
            </w:tcMar>
          </w:tcPr>
          <w:p w14:paraId="1784CCD4" w14:textId="77777777" w:rsidR="00291E5E" w:rsidRPr="00291E5E" w:rsidRDefault="00291E5E" w:rsidP="00B12301">
            <w:pPr>
              <w:pStyle w:val="ARTableText"/>
            </w:pPr>
            <w:r w:rsidRPr="00291E5E">
              <w:t>116</w:t>
            </w:r>
          </w:p>
        </w:tc>
        <w:tc>
          <w:tcPr>
            <w:tcW w:w="1009" w:type="dxa"/>
            <w:tcMar>
              <w:top w:w="0" w:type="dxa"/>
              <w:left w:w="108" w:type="dxa"/>
              <w:bottom w:w="0" w:type="dxa"/>
              <w:right w:w="108" w:type="dxa"/>
            </w:tcMar>
          </w:tcPr>
          <w:p w14:paraId="5CB2A0B4" w14:textId="77777777" w:rsidR="00291E5E" w:rsidRPr="00291E5E" w:rsidRDefault="00291E5E" w:rsidP="00B12301">
            <w:pPr>
              <w:pStyle w:val="ARTableText"/>
            </w:pPr>
            <w:r w:rsidRPr="00291E5E">
              <w:t>34.0%</w:t>
            </w:r>
          </w:p>
        </w:tc>
      </w:tr>
      <w:tr w:rsidR="00291E5E" w:rsidRPr="00291E5E" w14:paraId="4BB66827" w14:textId="77777777" w:rsidTr="00576557">
        <w:trPr>
          <w:trHeight w:val="117"/>
        </w:trPr>
        <w:tc>
          <w:tcPr>
            <w:tcW w:w="3869" w:type="dxa"/>
            <w:shd w:val="clear" w:color="auto" w:fill="E7E6E6" w:themeFill="background2"/>
            <w:tcMar>
              <w:top w:w="0" w:type="dxa"/>
              <w:left w:w="108" w:type="dxa"/>
              <w:bottom w:w="0" w:type="dxa"/>
              <w:right w:w="108" w:type="dxa"/>
            </w:tcMar>
            <w:hideMark/>
          </w:tcPr>
          <w:p w14:paraId="6C8395FB" w14:textId="77777777" w:rsidR="00291E5E" w:rsidRPr="00291E5E" w:rsidRDefault="00291E5E" w:rsidP="00B369CB">
            <w:pPr>
              <w:pStyle w:val="ARTableSubhead"/>
            </w:pPr>
            <w:r w:rsidRPr="00291E5E">
              <w:t>Outcome</w:t>
            </w:r>
          </w:p>
        </w:tc>
        <w:tc>
          <w:tcPr>
            <w:tcW w:w="1081" w:type="dxa"/>
            <w:shd w:val="clear" w:color="auto" w:fill="E7E6E6" w:themeFill="background2"/>
            <w:tcMar>
              <w:top w:w="0" w:type="dxa"/>
              <w:left w:w="108" w:type="dxa"/>
              <w:bottom w:w="0" w:type="dxa"/>
              <w:right w:w="108" w:type="dxa"/>
            </w:tcMar>
          </w:tcPr>
          <w:p w14:paraId="0F1DA31E" w14:textId="77777777" w:rsidR="00291E5E" w:rsidRPr="00291E5E" w:rsidRDefault="00291E5E" w:rsidP="00B369CB">
            <w:pPr>
              <w:pStyle w:val="ARTableSubhead"/>
            </w:pPr>
          </w:p>
        </w:tc>
        <w:tc>
          <w:tcPr>
            <w:tcW w:w="1060" w:type="dxa"/>
            <w:shd w:val="clear" w:color="auto" w:fill="E7E6E6" w:themeFill="background2"/>
            <w:tcMar>
              <w:top w:w="0" w:type="dxa"/>
              <w:left w:w="108" w:type="dxa"/>
              <w:bottom w:w="0" w:type="dxa"/>
              <w:right w:w="108" w:type="dxa"/>
            </w:tcMar>
          </w:tcPr>
          <w:p w14:paraId="7F075CC8" w14:textId="77777777" w:rsidR="00291E5E" w:rsidRPr="00291E5E" w:rsidRDefault="00291E5E" w:rsidP="00B369CB">
            <w:pPr>
              <w:pStyle w:val="ARTableSubhead"/>
            </w:pPr>
          </w:p>
        </w:tc>
        <w:tc>
          <w:tcPr>
            <w:tcW w:w="960" w:type="dxa"/>
            <w:shd w:val="clear" w:color="auto" w:fill="E7E6E6" w:themeFill="background2"/>
            <w:tcMar>
              <w:top w:w="0" w:type="dxa"/>
              <w:left w:w="108" w:type="dxa"/>
              <w:bottom w:w="0" w:type="dxa"/>
              <w:right w:w="108" w:type="dxa"/>
            </w:tcMar>
          </w:tcPr>
          <w:p w14:paraId="587F6F46" w14:textId="77777777" w:rsidR="00291E5E" w:rsidRPr="00291E5E" w:rsidRDefault="00291E5E" w:rsidP="00B369CB">
            <w:pPr>
              <w:pStyle w:val="ARTableSubhead"/>
            </w:pPr>
          </w:p>
        </w:tc>
        <w:tc>
          <w:tcPr>
            <w:tcW w:w="1009" w:type="dxa"/>
            <w:shd w:val="clear" w:color="auto" w:fill="E7E6E6" w:themeFill="background2"/>
            <w:tcMar>
              <w:top w:w="0" w:type="dxa"/>
              <w:left w:w="108" w:type="dxa"/>
              <w:bottom w:w="0" w:type="dxa"/>
              <w:right w:w="108" w:type="dxa"/>
            </w:tcMar>
          </w:tcPr>
          <w:p w14:paraId="2BDCABC5" w14:textId="77777777" w:rsidR="00291E5E" w:rsidRPr="00291E5E" w:rsidRDefault="00291E5E" w:rsidP="00B369CB">
            <w:pPr>
              <w:pStyle w:val="ARTableSubhead"/>
            </w:pPr>
          </w:p>
        </w:tc>
      </w:tr>
      <w:tr w:rsidR="00291E5E" w:rsidRPr="00291E5E" w14:paraId="06955C93" w14:textId="77777777" w:rsidTr="00576557">
        <w:trPr>
          <w:trHeight w:val="285"/>
        </w:trPr>
        <w:tc>
          <w:tcPr>
            <w:tcW w:w="3869" w:type="dxa"/>
            <w:tcMar>
              <w:top w:w="0" w:type="dxa"/>
              <w:left w:w="108" w:type="dxa"/>
              <w:bottom w:w="0" w:type="dxa"/>
              <w:right w:w="108" w:type="dxa"/>
            </w:tcMar>
            <w:hideMark/>
          </w:tcPr>
          <w:p w14:paraId="2FC673DD" w14:textId="77777777" w:rsidR="00291E5E" w:rsidRPr="00291E5E" w:rsidRDefault="00291E5E" w:rsidP="00B12301">
            <w:pPr>
              <w:pStyle w:val="ARTableText"/>
            </w:pPr>
            <w:r w:rsidRPr="00291E5E">
              <w:t>Pending</w:t>
            </w:r>
          </w:p>
        </w:tc>
        <w:tc>
          <w:tcPr>
            <w:tcW w:w="1081" w:type="dxa"/>
            <w:tcMar>
              <w:top w:w="0" w:type="dxa"/>
              <w:left w:w="108" w:type="dxa"/>
              <w:bottom w:w="0" w:type="dxa"/>
              <w:right w:w="108" w:type="dxa"/>
            </w:tcMar>
          </w:tcPr>
          <w:p w14:paraId="6B57BB00" w14:textId="77777777" w:rsidR="00291E5E" w:rsidRPr="00291E5E" w:rsidRDefault="00291E5E" w:rsidP="00B12301">
            <w:pPr>
              <w:pStyle w:val="ARTableText"/>
            </w:pPr>
            <w:r w:rsidRPr="00291E5E">
              <w:t>0</w:t>
            </w:r>
          </w:p>
        </w:tc>
        <w:tc>
          <w:tcPr>
            <w:tcW w:w="1060" w:type="dxa"/>
            <w:tcMar>
              <w:top w:w="0" w:type="dxa"/>
              <w:left w:w="108" w:type="dxa"/>
              <w:bottom w:w="0" w:type="dxa"/>
              <w:right w:w="108" w:type="dxa"/>
            </w:tcMar>
          </w:tcPr>
          <w:p w14:paraId="1FADE769" w14:textId="77777777" w:rsidR="00291E5E" w:rsidRPr="00291E5E" w:rsidRDefault="00291E5E" w:rsidP="00B12301">
            <w:pPr>
              <w:pStyle w:val="ARTableText"/>
            </w:pPr>
            <w:r w:rsidRPr="00291E5E">
              <w:t>0%</w:t>
            </w:r>
          </w:p>
        </w:tc>
        <w:tc>
          <w:tcPr>
            <w:tcW w:w="960" w:type="dxa"/>
            <w:tcMar>
              <w:top w:w="0" w:type="dxa"/>
              <w:left w:w="108" w:type="dxa"/>
              <w:bottom w:w="0" w:type="dxa"/>
              <w:right w:w="108" w:type="dxa"/>
            </w:tcMar>
          </w:tcPr>
          <w:p w14:paraId="6D937D16" w14:textId="77777777" w:rsidR="00291E5E" w:rsidRPr="00291E5E" w:rsidRDefault="00291E5E" w:rsidP="00B12301">
            <w:pPr>
              <w:pStyle w:val="ARTableText"/>
            </w:pPr>
            <w:r w:rsidRPr="00291E5E">
              <w:t>49</w:t>
            </w:r>
          </w:p>
        </w:tc>
        <w:tc>
          <w:tcPr>
            <w:tcW w:w="1009" w:type="dxa"/>
            <w:tcMar>
              <w:top w:w="0" w:type="dxa"/>
              <w:left w:w="108" w:type="dxa"/>
              <w:bottom w:w="0" w:type="dxa"/>
              <w:right w:w="108" w:type="dxa"/>
            </w:tcMar>
          </w:tcPr>
          <w:p w14:paraId="4E329BF1" w14:textId="77777777" w:rsidR="00291E5E" w:rsidRPr="00291E5E" w:rsidRDefault="00291E5E" w:rsidP="00B12301">
            <w:pPr>
              <w:pStyle w:val="ARTableText"/>
            </w:pPr>
            <w:r w:rsidRPr="00291E5E">
              <w:t>14.4%</w:t>
            </w:r>
          </w:p>
        </w:tc>
      </w:tr>
      <w:tr w:rsidR="00291E5E" w:rsidRPr="00291E5E" w14:paraId="2B8A55BB" w14:textId="77777777" w:rsidTr="00576557">
        <w:tc>
          <w:tcPr>
            <w:tcW w:w="3869" w:type="dxa"/>
            <w:tcMar>
              <w:top w:w="0" w:type="dxa"/>
              <w:left w:w="108" w:type="dxa"/>
              <w:bottom w:w="0" w:type="dxa"/>
              <w:right w:w="108" w:type="dxa"/>
            </w:tcMar>
            <w:hideMark/>
          </w:tcPr>
          <w:p w14:paraId="2B0D15B9" w14:textId="77777777" w:rsidR="00291E5E" w:rsidRPr="00291E5E" w:rsidRDefault="00291E5E" w:rsidP="00B12301">
            <w:pPr>
              <w:pStyle w:val="ARTableText"/>
            </w:pPr>
            <w:r w:rsidRPr="00291E5E">
              <w:t>Settled</w:t>
            </w:r>
          </w:p>
        </w:tc>
        <w:tc>
          <w:tcPr>
            <w:tcW w:w="1081" w:type="dxa"/>
            <w:tcMar>
              <w:top w:w="0" w:type="dxa"/>
              <w:left w:w="108" w:type="dxa"/>
              <w:bottom w:w="0" w:type="dxa"/>
              <w:right w:w="108" w:type="dxa"/>
            </w:tcMar>
          </w:tcPr>
          <w:p w14:paraId="30071507" w14:textId="77777777" w:rsidR="00291E5E" w:rsidRPr="00291E5E" w:rsidRDefault="00291E5E" w:rsidP="00B12301">
            <w:pPr>
              <w:pStyle w:val="ARTableText"/>
            </w:pPr>
            <w:r w:rsidRPr="00291E5E">
              <w:t>1</w:t>
            </w:r>
          </w:p>
        </w:tc>
        <w:tc>
          <w:tcPr>
            <w:tcW w:w="1060" w:type="dxa"/>
            <w:tcMar>
              <w:top w:w="0" w:type="dxa"/>
              <w:left w:w="108" w:type="dxa"/>
              <w:bottom w:w="0" w:type="dxa"/>
              <w:right w:w="108" w:type="dxa"/>
            </w:tcMar>
          </w:tcPr>
          <w:p w14:paraId="1ABE7793" w14:textId="77777777" w:rsidR="00291E5E" w:rsidRPr="00291E5E" w:rsidRDefault="00291E5E" w:rsidP="00B12301">
            <w:pPr>
              <w:pStyle w:val="ARTableText"/>
            </w:pPr>
            <w:r w:rsidRPr="00291E5E">
              <w:t>12.5%</w:t>
            </w:r>
          </w:p>
        </w:tc>
        <w:tc>
          <w:tcPr>
            <w:tcW w:w="960" w:type="dxa"/>
            <w:tcMar>
              <w:top w:w="0" w:type="dxa"/>
              <w:left w:w="108" w:type="dxa"/>
              <w:bottom w:w="0" w:type="dxa"/>
              <w:right w:w="108" w:type="dxa"/>
            </w:tcMar>
          </w:tcPr>
          <w:p w14:paraId="17FE0790" w14:textId="77777777" w:rsidR="00291E5E" w:rsidRPr="00291E5E" w:rsidRDefault="00291E5E" w:rsidP="00B12301">
            <w:pPr>
              <w:pStyle w:val="ARTableText"/>
            </w:pPr>
            <w:r w:rsidRPr="00291E5E">
              <w:t>93</w:t>
            </w:r>
          </w:p>
        </w:tc>
        <w:tc>
          <w:tcPr>
            <w:tcW w:w="1009" w:type="dxa"/>
            <w:tcMar>
              <w:top w:w="0" w:type="dxa"/>
              <w:left w:w="108" w:type="dxa"/>
              <w:bottom w:w="0" w:type="dxa"/>
              <w:right w:w="108" w:type="dxa"/>
            </w:tcMar>
          </w:tcPr>
          <w:p w14:paraId="0774EBE5" w14:textId="77777777" w:rsidR="00291E5E" w:rsidRPr="00291E5E" w:rsidRDefault="00291E5E" w:rsidP="00B12301">
            <w:pPr>
              <w:pStyle w:val="ARTableText"/>
            </w:pPr>
            <w:r w:rsidRPr="00291E5E">
              <w:t>27.3%</w:t>
            </w:r>
          </w:p>
        </w:tc>
      </w:tr>
      <w:tr w:rsidR="00291E5E" w:rsidRPr="00291E5E" w14:paraId="7F61676A" w14:textId="77777777" w:rsidTr="00576557">
        <w:tc>
          <w:tcPr>
            <w:tcW w:w="3869" w:type="dxa"/>
            <w:tcMar>
              <w:top w:w="0" w:type="dxa"/>
              <w:left w:w="108" w:type="dxa"/>
              <w:bottom w:w="0" w:type="dxa"/>
              <w:right w:w="108" w:type="dxa"/>
            </w:tcMar>
            <w:hideMark/>
          </w:tcPr>
          <w:p w14:paraId="7507C0D8" w14:textId="77777777" w:rsidR="00291E5E" w:rsidRPr="00291E5E" w:rsidRDefault="00291E5E" w:rsidP="00B12301">
            <w:pPr>
              <w:pStyle w:val="ARTableText"/>
            </w:pPr>
            <w:r w:rsidRPr="00291E5E">
              <w:t>Not settled</w:t>
            </w:r>
          </w:p>
        </w:tc>
        <w:tc>
          <w:tcPr>
            <w:tcW w:w="1081" w:type="dxa"/>
            <w:tcMar>
              <w:top w:w="0" w:type="dxa"/>
              <w:left w:w="108" w:type="dxa"/>
              <w:bottom w:w="0" w:type="dxa"/>
              <w:right w:w="108" w:type="dxa"/>
            </w:tcMar>
          </w:tcPr>
          <w:p w14:paraId="457E1D79" w14:textId="77777777" w:rsidR="00291E5E" w:rsidRPr="00291E5E" w:rsidRDefault="00291E5E" w:rsidP="00B12301">
            <w:pPr>
              <w:pStyle w:val="ARTableText"/>
            </w:pPr>
            <w:r w:rsidRPr="00291E5E">
              <w:t>7</w:t>
            </w:r>
          </w:p>
        </w:tc>
        <w:tc>
          <w:tcPr>
            <w:tcW w:w="1060" w:type="dxa"/>
            <w:tcMar>
              <w:top w:w="0" w:type="dxa"/>
              <w:left w:w="108" w:type="dxa"/>
              <w:bottom w:w="0" w:type="dxa"/>
              <w:right w:w="108" w:type="dxa"/>
            </w:tcMar>
          </w:tcPr>
          <w:p w14:paraId="123D804E" w14:textId="77777777" w:rsidR="00291E5E" w:rsidRPr="00291E5E" w:rsidRDefault="00291E5E" w:rsidP="00B12301">
            <w:pPr>
              <w:pStyle w:val="ARTableText"/>
            </w:pPr>
            <w:r w:rsidRPr="00291E5E">
              <w:t>87.5%</w:t>
            </w:r>
          </w:p>
        </w:tc>
        <w:tc>
          <w:tcPr>
            <w:tcW w:w="960" w:type="dxa"/>
            <w:tcMar>
              <w:top w:w="0" w:type="dxa"/>
              <w:left w:w="108" w:type="dxa"/>
              <w:bottom w:w="0" w:type="dxa"/>
              <w:right w:w="108" w:type="dxa"/>
            </w:tcMar>
          </w:tcPr>
          <w:p w14:paraId="5C6FDF8A" w14:textId="77777777" w:rsidR="00291E5E" w:rsidRPr="00291E5E" w:rsidRDefault="00291E5E" w:rsidP="00B12301">
            <w:pPr>
              <w:pStyle w:val="ARTableText"/>
            </w:pPr>
            <w:r w:rsidRPr="00291E5E">
              <w:t>199</w:t>
            </w:r>
          </w:p>
        </w:tc>
        <w:tc>
          <w:tcPr>
            <w:tcW w:w="1009" w:type="dxa"/>
            <w:tcMar>
              <w:top w:w="0" w:type="dxa"/>
              <w:left w:w="108" w:type="dxa"/>
              <w:bottom w:w="0" w:type="dxa"/>
              <w:right w:w="108" w:type="dxa"/>
            </w:tcMar>
          </w:tcPr>
          <w:p w14:paraId="4ADF9B9B" w14:textId="77777777" w:rsidR="00291E5E" w:rsidRPr="00291E5E" w:rsidRDefault="00291E5E" w:rsidP="00B12301">
            <w:pPr>
              <w:pStyle w:val="ARTableText"/>
            </w:pPr>
            <w:r w:rsidRPr="00291E5E">
              <w:t>58.4%</w:t>
            </w:r>
          </w:p>
        </w:tc>
      </w:tr>
      <w:tr w:rsidR="00291E5E" w:rsidRPr="00291E5E" w14:paraId="0486078E" w14:textId="77777777" w:rsidTr="00576557">
        <w:tc>
          <w:tcPr>
            <w:tcW w:w="7979" w:type="dxa"/>
            <w:gridSpan w:val="5"/>
            <w:tcMar>
              <w:top w:w="0" w:type="dxa"/>
              <w:left w:w="108" w:type="dxa"/>
              <w:bottom w:w="0" w:type="dxa"/>
              <w:right w:w="108" w:type="dxa"/>
            </w:tcMar>
          </w:tcPr>
          <w:p w14:paraId="56C9531B" w14:textId="77777777" w:rsidR="00291E5E" w:rsidRPr="00291E5E" w:rsidRDefault="00291E5E" w:rsidP="00B12301">
            <w:pPr>
              <w:pStyle w:val="ARTableText"/>
            </w:pPr>
          </w:p>
        </w:tc>
      </w:tr>
      <w:tr w:rsidR="00291E5E" w:rsidRPr="00CE2C01" w14:paraId="2FEEF9E6" w14:textId="77777777" w:rsidTr="00576557">
        <w:tc>
          <w:tcPr>
            <w:tcW w:w="3869" w:type="dxa"/>
            <w:shd w:val="clear" w:color="auto" w:fill="auto"/>
            <w:tcMar>
              <w:top w:w="0" w:type="dxa"/>
              <w:left w:w="108" w:type="dxa"/>
              <w:bottom w:w="0" w:type="dxa"/>
              <w:right w:w="108" w:type="dxa"/>
            </w:tcMar>
            <w:hideMark/>
          </w:tcPr>
          <w:p w14:paraId="24DC96C6" w14:textId="77777777" w:rsidR="00291E5E" w:rsidRPr="00CE2C01" w:rsidRDefault="00291E5E" w:rsidP="00B12301">
            <w:pPr>
              <w:pStyle w:val="ARTableText"/>
            </w:pPr>
            <w:r w:rsidRPr="00CE2C01">
              <w:t>Total complaints heard in conciliation</w:t>
            </w:r>
          </w:p>
        </w:tc>
        <w:tc>
          <w:tcPr>
            <w:tcW w:w="1081" w:type="dxa"/>
            <w:shd w:val="clear" w:color="auto" w:fill="auto"/>
            <w:tcMar>
              <w:top w:w="0" w:type="dxa"/>
              <w:left w:w="108" w:type="dxa"/>
              <w:bottom w:w="0" w:type="dxa"/>
              <w:right w:w="108" w:type="dxa"/>
            </w:tcMar>
          </w:tcPr>
          <w:p w14:paraId="3D90E8A5" w14:textId="77777777" w:rsidR="00291E5E" w:rsidRPr="00CE2C01" w:rsidRDefault="00291E5E" w:rsidP="00B12301">
            <w:pPr>
              <w:pStyle w:val="ARTableText"/>
            </w:pPr>
            <w:r w:rsidRPr="00CE2C01">
              <w:t>8</w:t>
            </w:r>
          </w:p>
        </w:tc>
        <w:tc>
          <w:tcPr>
            <w:tcW w:w="1060" w:type="dxa"/>
            <w:shd w:val="clear" w:color="auto" w:fill="auto"/>
            <w:tcMar>
              <w:top w:w="0" w:type="dxa"/>
              <w:left w:w="108" w:type="dxa"/>
              <w:bottom w:w="0" w:type="dxa"/>
              <w:right w:w="108" w:type="dxa"/>
            </w:tcMar>
          </w:tcPr>
          <w:p w14:paraId="7B39DD0D" w14:textId="77777777" w:rsidR="00291E5E" w:rsidRPr="00CE2C01" w:rsidRDefault="00291E5E" w:rsidP="00B12301">
            <w:pPr>
              <w:pStyle w:val="ARTableText"/>
            </w:pPr>
          </w:p>
        </w:tc>
        <w:tc>
          <w:tcPr>
            <w:tcW w:w="960" w:type="dxa"/>
            <w:shd w:val="clear" w:color="auto" w:fill="auto"/>
            <w:tcMar>
              <w:top w:w="0" w:type="dxa"/>
              <w:left w:w="108" w:type="dxa"/>
              <w:bottom w:w="0" w:type="dxa"/>
              <w:right w:w="108" w:type="dxa"/>
            </w:tcMar>
          </w:tcPr>
          <w:p w14:paraId="75E23720" w14:textId="77777777" w:rsidR="00291E5E" w:rsidRPr="00CE2C01" w:rsidRDefault="00291E5E" w:rsidP="00B12301">
            <w:pPr>
              <w:pStyle w:val="ARTableText"/>
            </w:pPr>
            <w:r w:rsidRPr="00CE2C01">
              <w:t>341</w:t>
            </w:r>
          </w:p>
        </w:tc>
        <w:tc>
          <w:tcPr>
            <w:tcW w:w="1009" w:type="dxa"/>
            <w:shd w:val="clear" w:color="auto" w:fill="auto"/>
            <w:tcMar>
              <w:top w:w="0" w:type="dxa"/>
              <w:left w:w="108" w:type="dxa"/>
              <w:bottom w:w="0" w:type="dxa"/>
              <w:right w:w="108" w:type="dxa"/>
            </w:tcMar>
          </w:tcPr>
          <w:p w14:paraId="0269CD20" w14:textId="77777777" w:rsidR="00291E5E" w:rsidRPr="00CE2C01" w:rsidRDefault="00291E5E" w:rsidP="00B12301">
            <w:pPr>
              <w:pStyle w:val="ARTableText"/>
            </w:pPr>
          </w:p>
        </w:tc>
      </w:tr>
      <w:tr w:rsidR="00291E5E" w:rsidRPr="00291E5E" w14:paraId="1E1A6C84" w14:textId="77777777" w:rsidTr="00576557">
        <w:tc>
          <w:tcPr>
            <w:tcW w:w="3869" w:type="dxa"/>
            <w:tcMar>
              <w:top w:w="0" w:type="dxa"/>
              <w:left w:w="108" w:type="dxa"/>
              <w:bottom w:w="0" w:type="dxa"/>
              <w:right w:w="108" w:type="dxa"/>
            </w:tcMar>
            <w:hideMark/>
          </w:tcPr>
          <w:p w14:paraId="7DF5CC03" w14:textId="77777777" w:rsidR="00291E5E" w:rsidRPr="00291E5E" w:rsidRDefault="00291E5E" w:rsidP="00B12301">
            <w:pPr>
              <w:pStyle w:val="ARTableText"/>
              <w:rPr>
                <w:b/>
                <w:bCs/>
              </w:rPr>
            </w:pPr>
            <w:r w:rsidRPr="00291E5E">
              <w:t>% of all complaints within jurisdiction</w:t>
            </w:r>
          </w:p>
        </w:tc>
        <w:tc>
          <w:tcPr>
            <w:tcW w:w="1081" w:type="dxa"/>
            <w:tcMar>
              <w:top w:w="0" w:type="dxa"/>
              <w:left w:w="108" w:type="dxa"/>
              <w:bottom w:w="0" w:type="dxa"/>
              <w:right w:w="108" w:type="dxa"/>
            </w:tcMar>
          </w:tcPr>
          <w:p w14:paraId="59A08FAA" w14:textId="77777777" w:rsidR="00291E5E" w:rsidRPr="00291E5E" w:rsidRDefault="00291E5E" w:rsidP="00B12301">
            <w:pPr>
              <w:pStyle w:val="ARTableText"/>
            </w:pPr>
          </w:p>
        </w:tc>
        <w:tc>
          <w:tcPr>
            <w:tcW w:w="1060" w:type="dxa"/>
            <w:tcMar>
              <w:top w:w="0" w:type="dxa"/>
              <w:left w:w="108" w:type="dxa"/>
              <w:bottom w:w="0" w:type="dxa"/>
              <w:right w:w="108" w:type="dxa"/>
            </w:tcMar>
          </w:tcPr>
          <w:p w14:paraId="7FB46145" w14:textId="77777777" w:rsidR="00291E5E" w:rsidRPr="00291E5E" w:rsidRDefault="00291E5E" w:rsidP="00B12301">
            <w:pPr>
              <w:pStyle w:val="ARTableText"/>
            </w:pPr>
            <w:r w:rsidRPr="00291E5E">
              <w:t>4.82%</w:t>
            </w:r>
          </w:p>
        </w:tc>
        <w:tc>
          <w:tcPr>
            <w:tcW w:w="960" w:type="dxa"/>
            <w:tcMar>
              <w:top w:w="0" w:type="dxa"/>
              <w:left w:w="108" w:type="dxa"/>
              <w:bottom w:w="0" w:type="dxa"/>
              <w:right w:w="108" w:type="dxa"/>
            </w:tcMar>
          </w:tcPr>
          <w:p w14:paraId="46047F37" w14:textId="77777777" w:rsidR="00291E5E" w:rsidRPr="00291E5E" w:rsidRDefault="00291E5E" w:rsidP="00B12301">
            <w:pPr>
              <w:pStyle w:val="ARTableText"/>
            </w:pPr>
          </w:p>
        </w:tc>
        <w:tc>
          <w:tcPr>
            <w:tcW w:w="1009" w:type="dxa"/>
            <w:tcMar>
              <w:top w:w="0" w:type="dxa"/>
              <w:left w:w="108" w:type="dxa"/>
              <w:bottom w:w="0" w:type="dxa"/>
              <w:right w:w="108" w:type="dxa"/>
            </w:tcMar>
          </w:tcPr>
          <w:p w14:paraId="3591313B" w14:textId="77777777" w:rsidR="00291E5E" w:rsidRPr="00291E5E" w:rsidRDefault="00291E5E" w:rsidP="00B12301">
            <w:pPr>
              <w:pStyle w:val="ARTableText"/>
            </w:pPr>
            <w:r w:rsidRPr="00291E5E">
              <w:t>30.3%</w:t>
            </w:r>
          </w:p>
        </w:tc>
      </w:tr>
      <w:bookmarkEnd w:id="22"/>
    </w:tbl>
    <w:p w14:paraId="6D6422E9" w14:textId="77777777" w:rsidR="00291E5E" w:rsidRPr="00291E5E" w:rsidRDefault="00291E5E" w:rsidP="00B12301"/>
    <w:p w14:paraId="359C2D65" w14:textId="77777777" w:rsidR="00291E5E" w:rsidRPr="00291E5E" w:rsidRDefault="00291E5E" w:rsidP="00B12301">
      <w:r w:rsidRPr="00291E5E">
        <w:br w:type="page"/>
      </w:r>
    </w:p>
    <w:p w14:paraId="43865322" w14:textId="3E8EB6E6" w:rsidR="00291E5E" w:rsidRPr="00291E5E" w:rsidRDefault="00291E5E" w:rsidP="00D579F2">
      <w:pPr>
        <w:pStyle w:val="ARH1-Mainsectionheading"/>
      </w:pPr>
      <w:bookmarkStart w:id="23" w:name="_Toc82442774"/>
      <w:r w:rsidRPr="00291E5E">
        <w:lastRenderedPageBreak/>
        <w:t>Review</w:t>
      </w:r>
      <w:bookmarkEnd w:id="23"/>
    </w:p>
    <w:p w14:paraId="13301838" w14:textId="77777777" w:rsidR="00291E5E" w:rsidRPr="00291E5E" w:rsidRDefault="00291E5E" w:rsidP="00B12301">
      <w:r w:rsidRPr="00291E5E">
        <w:t xml:space="preserve">107 matters were determined at review in 2020–21. </w:t>
      </w:r>
    </w:p>
    <w:p w14:paraId="102D20C5" w14:textId="77777777" w:rsidR="00291E5E" w:rsidRPr="00291E5E" w:rsidRDefault="00291E5E" w:rsidP="00B12301">
      <w:pPr>
        <w:pStyle w:val="ARTableFigureTitle"/>
      </w:pPr>
      <w:r w:rsidRPr="00291E5E">
        <w:t>Table 6.7 Review determination outcomes in 2020–21</w:t>
      </w:r>
    </w:p>
    <w:tbl>
      <w:tblPr>
        <w:tblStyle w:val="TableGrid"/>
        <w:tblW w:w="5000" w:type="pct"/>
        <w:tblLook w:val="04A0" w:firstRow="1" w:lastRow="0" w:firstColumn="1" w:lastColumn="0" w:noHBand="0" w:noVBand="1"/>
      </w:tblPr>
      <w:tblGrid>
        <w:gridCol w:w="4452"/>
        <w:gridCol w:w="1107"/>
        <w:gridCol w:w="1096"/>
        <w:gridCol w:w="1107"/>
        <w:gridCol w:w="1254"/>
      </w:tblGrid>
      <w:tr w:rsidR="00291E5E" w:rsidRPr="00291E5E" w14:paraId="02648C07" w14:textId="77777777" w:rsidTr="00576557">
        <w:tc>
          <w:tcPr>
            <w:tcW w:w="4763" w:type="dxa"/>
            <w:shd w:val="clear" w:color="auto" w:fill="0072CE"/>
          </w:tcPr>
          <w:p w14:paraId="2E4EEEEC" w14:textId="77777777" w:rsidR="00291E5E" w:rsidRPr="00291E5E" w:rsidRDefault="00291E5E" w:rsidP="00B12301">
            <w:pPr>
              <w:pStyle w:val="ARTableHeader"/>
            </w:pPr>
          </w:p>
        </w:tc>
        <w:tc>
          <w:tcPr>
            <w:tcW w:w="2252" w:type="dxa"/>
            <w:gridSpan w:val="2"/>
            <w:shd w:val="clear" w:color="auto" w:fill="0072CE"/>
          </w:tcPr>
          <w:p w14:paraId="2530A6E8" w14:textId="0BFE12DC" w:rsidR="00291E5E" w:rsidRPr="00291E5E" w:rsidRDefault="00917478" w:rsidP="00B12301">
            <w:pPr>
              <w:pStyle w:val="ARTableHeader"/>
            </w:pPr>
            <w:r w:rsidRPr="00291E5E">
              <w:t>2020–21</w:t>
            </w:r>
          </w:p>
        </w:tc>
        <w:tc>
          <w:tcPr>
            <w:tcW w:w="2426" w:type="dxa"/>
            <w:gridSpan w:val="2"/>
            <w:tcBorders>
              <w:right w:val="single" w:sz="4" w:space="0" w:color="auto"/>
            </w:tcBorders>
            <w:shd w:val="clear" w:color="auto" w:fill="0072CE"/>
          </w:tcPr>
          <w:p w14:paraId="567FDD95" w14:textId="77777777" w:rsidR="00291E5E" w:rsidRPr="00291E5E" w:rsidRDefault="00291E5E" w:rsidP="00B12301">
            <w:pPr>
              <w:pStyle w:val="ARTableHeader"/>
            </w:pPr>
            <w:r w:rsidRPr="00291E5E">
              <w:t>2019–20</w:t>
            </w:r>
          </w:p>
        </w:tc>
      </w:tr>
      <w:tr w:rsidR="00291E5E" w:rsidRPr="00291E5E" w14:paraId="056F401F" w14:textId="77777777" w:rsidTr="00576557">
        <w:tc>
          <w:tcPr>
            <w:tcW w:w="4763" w:type="dxa"/>
            <w:shd w:val="clear" w:color="auto" w:fill="0072CE"/>
          </w:tcPr>
          <w:p w14:paraId="665C956C" w14:textId="77777777" w:rsidR="00291E5E" w:rsidRPr="00291E5E" w:rsidRDefault="00291E5E" w:rsidP="00B12301">
            <w:pPr>
              <w:pStyle w:val="ARTableHeader"/>
            </w:pPr>
          </w:p>
        </w:tc>
        <w:tc>
          <w:tcPr>
            <w:tcW w:w="1126" w:type="dxa"/>
            <w:shd w:val="clear" w:color="auto" w:fill="0072CE"/>
          </w:tcPr>
          <w:p w14:paraId="08DD48E0" w14:textId="77777777" w:rsidR="00291E5E" w:rsidRPr="00291E5E" w:rsidRDefault="00291E5E" w:rsidP="00B12301">
            <w:pPr>
              <w:pStyle w:val="ARTableHeader"/>
            </w:pPr>
            <w:r w:rsidRPr="00291E5E">
              <w:t>Number</w:t>
            </w:r>
          </w:p>
        </w:tc>
        <w:tc>
          <w:tcPr>
            <w:tcW w:w="1126" w:type="dxa"/>
            <w:shd w:val="clear" w:color="auto" w:fill="0072CE"/>
          </w:tcPr>
          <w:p w14:paraId="2C416E6D" w14:textId="77777777" w:rsidR="00291E5E" w:rsidRPr="00291E5E" w:rsidRDefault="00291E5E" w:rsidP="00B12301">
            <w:pPr>
              <w:pStyle w:val="ARTableHeader"/>
            </w:pPr>
            <w:r w:rsidRPr="00291E5E">
              <w:t>%</w:t>
            </w:r>
          </w:p>
        </w:tc>
        <w:tc>
          <w:tcPr>
            <w:tcW w:w="1126" w:type="dxa"/>
            <w:shd w:val="clear" w:color="auto" w:fill="0072CE"/>
          </w:tcPr>
          <w:p w14:paraId="65361626" w14:textId="77777777" w:rsidR="00291E5E" w:rsidRPr="00291E5E" w:rsidRDefault="00291E5E" w:rsidP="00B12301">
            <w:pPr>
              <w:pStyle w:val="ARTableHeader"/>
            </w:pPr>
            <w:r w:rsidRPr="00291E5E">
              <w:t>Number</w:t>
            </w:r>
          </w:p>
        </w:tc>
        <w:tc>
          <w:tcPr>
            <w:tcW w:w="1300" w:type="dxa"/>
            <w:tcBorders>
              <w:right w:val="single" w:sz="4" w:space="0" w:color="auto"/>
            </w:tcBorders>
            <w:shd w:val="clear" w:color="auto" w:fill="0072CE"/>
          </w:tcPr>
          <w:p w14:paraId="66FCA5BD" w14:textId="77777777" w:rsidR="00291E5E" w:rsidRPr="00291E5E" w:rsidRDefault="00291E5E" w:rsidP="00B12301">
            <w:pPr>
              <w:pStyle w:val="ARTableHeader"/>
            </w:pPr>
            <w:r w:rsidRPr="00291E5E">
              <w:t>%</w:t>
            </w:r>
          </w:p>
        </w:tc>
      </w:tr>
      <w:tr w:rsidR="00291E5E" w:rsidRPr="00291E5E" w14:paraId="6E97B11A" w14:textId="77777777" w:rsidTr="00576557">
        <w:trPr>
          <w:trHeight w:val="281"/>
        </w:trPr>
        <w:tc>
          <w:tcPr>
            <w:tcW w:w="4763" w:type="dxa"/>
            <w:shd w:val="clear" w:color="auto" w:fill="E7E6E6" w:themeFill="background2"/>
          </w:tcPr>
          <w:p w14:paraId="17FB8D6D" w14:textId="77777777" w:rsidR="00291E5E" w:rsidRPr="00291E5E" w:rsidRDefault="00291E5E" w:rsidP="00B369CB">
            <w:pPr>
              <w:pStyle w:val="ARTableSubhead"/>
            </w:pPr>
            <w:r w:rsidRPr="00291E5E">
              <w:t>Outcomes</w:t>
            </w:r>
          </w:p>
        </w:tc>
        <w:tc>
          <w:tcPr>
            <w:tcW w:w="1126" w:type="dxa"/>
            <w:shd w:val="clear" w:color="auto" w:fill="E7E6E6" w:themeFill="background2"/>
          </w:tcPr>
          <w:p w14:paraId="286D4FDD" w14:textId="77777777" w:rsidR="00291E5E" w:rsidRPr="00291E5E" w:rsidRDefault="00291E5E" w:rsidP="00B369CB">
            <w:pPr>
              <w:pStyle w:val="ARTableSubhead"/>
            </w:pPr>
          </w:p>
        </w:tc>
        <w:tc>
          <w:tcPr>
            <w:tcW w:w="1126" w:type="dxa"/>
            <w:shd w:val="clear" w:color="auto" w:fill="E7E6E6" w:themeFill="background2"/>
          </w:tcPr>
          <w:p w14:paraId="049D8CC8" w14:textId="77777777" w:rsidR="00291E5E" w:rsidRPr="00291E5E" w:rsidRDefault="00291E5E" w:rsidP="00B369CB">
            <w:pPr>
              <w:pStyle w:val="ARTableSubhead"/>
            </w:pPr>
          </w:p>
        </w:tc>
        <w:tc>
          <w:tcPr>
            <w:tcW w:w="1126" w:type="dxa"/>
            <w:shd w:val="clear" w:color="auto" w:fill="E7E6E6" w:themeFill="background2"/>
          </w:tcPr>
          <w:p w14:paraId="2B2E90AD" w14:textId="77777777" w:rsidR="00291E5E" w:rsidRPr="00291E5E" w:rsidRDefault="00291E5E" w:rsidP="00B369CB">
            <w:pPr>
              <w:pStyle w:val="ARTableSubhead"/>
            </w:pPr>
          </w:p>
        </w:tc>
        <w:tc>
          <w:tcPr>
            <w:tcW w:w="1300" w:type="dxa"/>
            <w:tcBorders>
              <w:right w:val="single" w:sz="4" w:space="0" w:color="auto"/>
            </w:tcBorders>
            <w:shd w:val="clear" w:color="auto" w:fill="E7E6E6" w:themeFill="background2"/>
          </w:tcPr>
          <w:p w14:paraId="34710348" w14:textId="77777777" w:rsidR="00291E5E" w:rsidRPr="00291E5E" w:rsidRDefault="00291E5E" w:rsidP="00B369CB">
            <w:pPr>
              <w:pStyle w:val="ARTableSubhead"/>
            </w:pPr>
          </w:p>
        </w:tc>
      </w:tr>
      <w:tr w:rsidR="00291E5E" w:rsidRPr="00291E5E" w14:paraId="319D1580" w14:textId="77777777" w:rsidTr="00576557">
        <w:tc>
          <w:tcPr>
            <w:tcW w:w="4763" w:type="dxa"/>
          </w:tcPr>
          <w:p w14:paraId="4C722B61" w14:textId="77777777" w:rsidR="00291E5E" w:rsidRPr="00291E5E" w:rsidRDefault="00291E5E" w:rsidP="00B12301">
            <w:pPr>
              <w:pStyle w:val="ARTableText"/>
            </w:pPr>
            <w:r w:rsidRPr="00291E5E">
              <w:t>Affirmed</w:t>
            </w:r>
          </w:p>
        </w:tc>
        <w:tc>
          <w:tcPr>
            <w:tcW w:w="1126" w:type="dxa"/>
          </w:tcPr>
          <w:p w14:paraId="52F708AC" w14:textId="77777777" w:rsidR="00291E5E" w:rsidRPr="00291E5E" w:rsidRDefault="00291E5E" w:rsidP="00B12301">
            <w:pPr>
              <w:pStyle w:val="ARTableText"/>
            </w:pPr>
            <w:r w:rsidRPr="00291E5E">
              <w:t>80</w:t>
            </w:r>
          </w:p>
        </w:tc>
        <w:tc>
          <w:tcPr>
            <w:tcW w:w="1126" w:type="dxa"/>
          </w:tcPr>
          <w:p w14:paraId="6A147F8E" w14:textId="77777777" w:rsidR="00291E5E" w:rsidRPr="00291E5E" w:rsidRDefault="00291E5E" w:rsidP="00B12301">
            <w:pPr>
              <w:pStyle w:val="ARTableText"/>
            </w:pPr>
            <w:r w:rsidRPr="00291E5E">
              <w:t>74.78%</w:t>
            </w:r>
          </w:p>
        </w:tc>
        <w:tc>
          <w:tcPr>
            <w:tcW w:w="1126" w:type="dxa"/>
          </w:tcPr>
          <w:p w14:paraId="2F6E58F5" w14:textId="77777777" w:rsidR="00291E5E" w:rsidRPr="00291E5E" w:rsidRDefault="00291E5E" w:rsidP="00B12301">
            <w:pPr>
              <w:pStyle w:val="ARTableText"/>
            </w:pPr>
            <w:r w:rsidRPr="00291E5E">
              <w:t>152</w:t>
            </w:r>
          </w:p>
        </w:tc>
        <w:tc>
          <w:tcPr>
            <w:tcW w:w="1300" w:type="dxa"/>
            <w:tcBorders>
              <w:right w:val="single" w:sz="4" w:space="0" w:color="auto"/>
            </w:tcBorders>
          </w:tcPr>
          <w:p w14:paraId="375777D6" w14:textId="77777777" w:rsidR="00291E5E" w:rsidRPr="00291E5E" w:rsidRDefault="00291E5E" w:rsidP="00B12301">
            <w:pPr>
              <w:pStyle w:val="ARTableText"/>
            </w:pPr>
            <w:r w:rsidRPr="00291E5E">
              <w:t>70.7%</w:t>
            </w:r>
          </w:p>
        </w:tc>
      </w:tr>
      <w:tr w:rsidR="00291E5E" w:rsidRPr="00291E5E" w14:paraId="5FBF09C8" w14:textId="77777777" w:rsidTr="00576557">
        <w:tc>
          <w:tcPr>
            <w:tcW w:w="4763" w:type="dxa"/>
          </w:tcPr>
          <w:p w14:paraId="724E9149" w14:textId="77777777" w:rsidR="00291E5E" w:rsidRPr="00291E5E" w:rsidRDefault="00291E5E" w:rsidP="00B12301">
            <w:pPr>
              <w:pStyle w:val="ARTableText"/>
            </w:pPr>
            <w:r w:rsidRPr="00291E5E">
              <w:t>Remitted</w:t>
            </w:r>
          </w:p>
        </w:tc>
        <w:tc>
          <w:tcPr>
            <w:tcW w:w="1126" w:type="dxa"/>
          </w:tcPr>
          <w:p w14:paraId="4B2889CA" w14:textId="77777777" w:rsidR="00291E5E" w:rsidRPr="00291E5E" w:rsidRDefault="00291E5E" w:rsidP="00B12301">
            <w:pPr>
              <w:pStyle w:val="ARTableText"/>
            </w:pPr>
            <w:r w:rsidRPr="00291E5E">
              <w:t>0</w:t>
            </w:r>
          </w:p>
        </w:tc>
        <w:tc>
          <w:tcPr>
            <w:tcW w:w="1126" w:type="dxa"/>
          </w:tcPr>
          <w:p w14:paraId="6D3AF65A" w14:textId="77777777" w:rsidR="00291E5E" w:rsidRPr="00291E5E" w:rsidRDefault="00291E5E" w:rsidP="00B12301">
            <w:pPr>
              <w:pStyle w:val="ARTableText"/>
            </w:pPr>
            <w:r w:rsidRPr="00291E5E">
              <w:t>0%</w:t>
            </w:r>
          </w:p>
        </w:tc>
        <w:tc>
          <w:tcPr>
            <w:tcW w:w="1126" w:type="dxa"/>
          </w:tcPr>
          <w:p w14:paraId="0A09D116" w14:textId="77777777" w:rsidR="00291E5E" w:rsidRPr="00291E5E" w:rsidRDefault="00291E5E" w:rsidP="00B12301">
            <w:pPr>
              <w:pStyle w:val="ARTableText"/>
            </w:pPr>
            <w:r w:rsidRPr="00291E5E">
              <w:t>2</w:t>
            </w:r>
          </w:p>
        </w:tc>
        <w:tc>
          <w:tcPr>
            <w:tcW w:w="1300" w:type="dxa"/>
            <w:tcBorders>
              <w:right w:val="single" w:sz="4" w:space="0" w:color="auto"/>
            </w:tcBorders>
          </w:tcPr>
          <w:p w14:paraId="35A6EC2B" w14:textId="77777777" w:rsidR="00291E5E" w:rsidRPr="00291E5E" w:rsidRDefault="00291E5E" w:rsidP="00B12301">
            <w:pPr>
              <w:pStyle w:val="ARTableText"/>
            </w:pPr>
            <w:r w:rsidRPr="00291E5E">
              <w:t>00.93%</w:t>
            </w:r>
          </w:p>
        </w:tc>
      </w:tr>
      <w:tr w:rsidR="00291E5E" w:rsidRPr="00291E5E" w14:paraId="0B5BE790" w14:textId="77777777" w:rsidTr="00576557">
        <w:trPr>
          <w:trHeight w:val="285"/>
        </w:trPr>
        <w:tc>
          <w:tcPr>
            <w:tcW w:w="4763" w:type="dxa"/>
          </w:tcPr>
          <w:p w14:paraId="3EE72788" w14:textId="77777777" w:rsidR="00291E5E" w:rsidRPr="00291E5E" w:rsidRDefault="00291E5E" w:rsidP="00B12301">
            <w:pPr>
              <w:pStyle w:val="ARTableText"/>
            </w:pPr>
            <w:r w:rsidRPr="00291E5E">
              <w:t>Varied</w:t>
            </w:r>
          </w:p>
        </w:tc>
        <w:tc>
          <w:tcPr>
            <w:tcW w:w="1126" w:type="dxa"/>
          </w:tcPr>
          <w:p w14:paraId="44E45922" w14:textId="77777777" w:rsidR="00291E5E" w:rsidRPr="00291E5E" w:rsidRDefault="00291E5E" w:rsidP="00B12301">
            <w:pPr>
              <w:pStyle w:val="ARTableText"/>
            </w:pPr>
            <w:r w:rsidRPr="00291E5E">
              <w:t>1</w:t>
            </w:r>
          </w:p>
        </w:tc>
        <w:tc>
          <w:tcPr>
            <w:tcW w:w="1126" w:type="dxa"/>
          </w:tcPr>
          <w:p w14:paraId="073C4732" w14:textId="77777777" w:rsidR="00291E5E" w:rsidRPr="00291E5E" w:rsidRDefault="00291E5E" w:rsidP="00B12301">
            <w:pPr>
              <w:pStyle w:val="ARTableText"/>
            </w:pPr>
            <w:r w:rsidRPr="00291E5E">
              <w:t>0.93%</w:t>
            </w:r>
          </w:p>
        </w:tc>
        <w:tc>
          <w:tcPr>
            <w:tcW w:w="1126" w:type="dxa"/>
          </w:tcPr>
          <w:p w14:paraId="2E83F479" w14:textId="77777777" w:rsidR="00291E5E" w:rsidRPr="00291E5E" w:rsidRDefault="00291E5E" w:rsidP="00B12301">
            <w:pPr>
              <w:pStyle w:val="ARTableText"/>
            </w:pPr>
            <w:r w:rsidRPr="00291E5E">
              <w:t>2</w:t>
            </w:r>
          </w:p>
        </w:tc>
        <w:tc>
          <w:tcPr>
            <w:tcW w:w="1300" w:type="dxa"/>
            <w:tcBorders>
              <w:right w:val="single" w:sz="4" w:space="0" w:color="auto"/>
            </w:tcBorders>
          </w:tcPr>
          <w:p w14:paraId="17469F59" w14:textId="77777777" w:rsidR="00291E5E" w:rsidRPr="00291E5E" w:rsidRDefault="00291E5E" w:rsidP="00B12301">
            <w:pPr>
              <w:pStyle w:val="ARTableText"/>
            </w:pPr>
            <w:r w:rsidRPr="00291E5E">
              <w:t>00.93%</w:t>
            </w:r>
          </w:p>
        </w:tc>
      </w:tr>
      <w:tr w:rsidR="00291E5E" w:rsidRPr="00291E5E" w14:paraId="5DAD2FAD" w14:textId="77777777" w:rsidTr="00576557">
        <w:trPr>
          <w:trHeight w:val="285"/>
        </w:trPr>
        <w:tc>
          <w:tcPr>
            <w:tcW w:w="4763" w:type="dxa"/>
          </w:tcPr>
          <w:p w14:paraId="5FCF24B3" w14:textId="77777777" w:rsidR="00291E5E" w:rsidRPr="00291E5E" w:rsidRDefault="00291E5E" w:rsidP="00B12301">
            <w:pPr>
              <w:pStyle w:val="ARTableText"/>
            </w:pPr>
            <w:r w:rsidRPr="00291E5E">
              <w:t>Set aside</w:t>
            </w:r>
          </w:p>
        </w:tc>
        <w:tc>
          <w:tcPr>
            <w:tcW w:w="1126" w:type="dxa"/>
          </w:tcPr>
          <w:p w14:paraId="28BFD95F" w14:textId="77777777" w:rsidR="00291E5E" w:rsidRPr="00291E5E" w:rsidRDefault="00291E5E" w:rsidP="00B12301">
            <w:pPr>
              <w:pStyle w:val="ARTableText"/>
            </w:pPr>
            <w:r w:rsidRPr="00291E5E">
              <w:t>25</w:t>
            </w:r>
          </w:p>
        </w:tc>
        <w:tc>
          <w:tcPr>
            <w:tcW w:w="1126" w:type="dxa"/>
          </w:tcPr>
          <w:p w14:paraId="6302CC07" w14:textId="77777777" w:rsidR="00291E5E" w:rsidRPr="00291E5E" w:rsidRDefault="00291E5E" w:rsidP="00B12301">
            <w:pPr>
              <w:pStyle w:val="ARTableText"/>
            </w:pPr>
            <w:r w:rsidRPr="00291E5E">
              <w:t>23.36%</w:t>
            </w:r>
          </w:p>
        </w:tc>
        <w:tc>
          <w:tcPr>
            <w:tcW w:w="1126" w:type="dxa"/>
          </w:tcPr>
          <w:p w14:paraId="7D5A236C" w14:textId="77777777" w:rsidR="00291E5E" w:rsidRPr="00291E5E" w:rsidRDefault="00291E5E" w:rsidP="00B12301">
            <w:pPr>
              <w:pStyle w:val="ARTableText"/>
            </w:pPr>
            <w:r w:rsidRPr="00291E5E">
              <w:t>59</w:t>
            </w:r>
          </w:p>
        </w:tc>
        <w:tc>
          <w:tcPr>
            <w:tcW w:w="1300" w:type="dxa"/>
            <w:tcBorders>
              <w:right w:val="single" w:sz="4" w:space="0" w:color="auto"/>
            </w:tcBorders>
          </w:tcPr>
          <w:p w14:paraId="060DE23F" w14:textId="77777777" w:rsidR="00291E5E" w:rsidRPr="00291E5E" w:rsidRDefault="00291E5E" w:rsidP="00B12301">
            <w:pPr>
              <w:pStyle w:val="ARTableText"/>
            </w:pPr>
            <w:r w:rsidRPr="00291E5E">
              <w:t>27.44%</w:t>
            </w:r>
          </w:p>
        </w:tc>
      </w:tr>
      <w:tr w:rsidR="00291E5E" w:rsidRPr="00291E5E" w14:paraId="5AD79134" w14:textId="77777777" w:rsidTr="00576557">
        <w:trPr>
          <w:trHeight w:val="285"/>
        </w:trPr>
        <w:tc>
          <w:tcPr>
            <w:tcW w:w="4763" w:type="dxa"/>
          </w:tcPr>
          <w:p w14:paraId="580AE0CE" w14:textId="77777777" w:rsidR="00291E5E" w:rsidRPr="00291E5E" w:rsidRDefault="00291E5E" w:rsidP="00B12301">
            <w:pPr>
              <w:pStyle w:val="ARTableText"/>
            </w:pPr>
            <w:r w:rsidRPr="00291E5E">
              <w:t>No jurisdiction</w:t>
            </w:r>
          </w:p>
        </w:tc>
        <w:tc>
          <w:tcPr>
            <w:tcW w:w="1126" w:type="dxa"/>
          </w:tcPr>
          <w:p w14:paraId="345F1A53" w14:textId="77777777" w:rsidR="00291E5E" w:rsidRPr="00291E5E" w:rsidRDefault="00291E5E" w:rsidP="00B12301">
            <w:pPr>
              <w:pStyle w:val="ARTableText"/>
            </w:pPr>
            <w:r w:rsidRPr="00291E5E">
              <w:t>1</w:t>
            </w:r>
          </w:p>
        </w:tc>
        <w:tc>
          <w:tcPr>
            <w:tcW w:w="1126" w:type="dxa"/>
          </w:tcPr>
          <w:p w14:paraId="3F81B3AD" w14:textId="77777777" w:rsidR="00291E5E" w:rsidRPr="00291E5E" w:rsidRDefault="00291E5E" w:rsidP="00B12301">
            <w:pPr>
              <w:pStyle w:val="ARTableText"/>
            </w:pPr>
            <w:r w:rsidRPr="00291E5E">
              <w:t>0.93%</w:t>
            </w:r>
          </w:p>
        </w:tc>
        <w:tc>
          <w:tcPr>
            <w:tcW w:w="1126" w:type="dxa"/>
          </w:tcPr>
          <w:p w14:paraId="6DD6BF4C" w14:textId="77777777" w:rsidR="00291E5E" w:rsidRPr="00291E5E" w:rsidRDefault="00291E5E" w:rsidP="00B12301">
            <w:pPr>
              <w:pStyle w:val="ARTableText"/>
            </w:pPr>
            <w:r w:rsidRPr="00291E5E">
              <w:t>0</w:t>
            </w:r>
          </w:p>
        </w:tc>
        <w:tc>
          <w:tcPr>
            <w:tcW w:w="1300" w:type="dxa"/>
            <w:tcBorders>
              <w:right w:val="single" w:sz="4" w:space="0" w:color="auto"/>
            </w:tcBorders>
          </w:tcPr>
          <w:p w14:paraId="6275C370" w14:textId="77777777" w:rsidR="00291E5E" w:rsidRPr="00291E5E" w:rsidRDefault="00291E5E" w:rsidP="00B12301">
            <w:pPr>
              <w:pStyle w:val="ARTableText"/>
            </w:pPr>
            <w:r w:rsidRPr="00291E5E">
              <w:t>0%</w:t>
            </w:r>
          </w:p>
        </w:tc>
      </w:tr>
      <w:tr w:rsidR="00291E5E" w:rsidRPr="00291E5E" w14:paraId="425BC73D" w14:textId="77777777" w:rsidTr="00576557">
        <w:trPr>
          <w:trHeight w:val="411"/>
        </w:trPr>
        <w:tc>
          <w:tcPr>
            <w:tcW w:w="4763" w:type="dxa"/>
            <w:shd w:val="clear" w:color="auto" w:fill="E7E6E6" w:themeFill="background2"/>
          </w:tcPr>
          <w:p w14:paraId="1AEA58DA" w14:textId="77777777" w:rsidR="00291E5E" w:rsidRPr="00291E5E" w:rsidRDefault="00291E5E" w:rsidP="00B369CB">
            <w:pPr>
              <w:pStyle w:val="ARTableSubhead"/>
            </w:pPr>
            <w:r w:rsidRPr="00291E5E">
              <w:t>Type</w:t>
            </w:r>
          </w:p>
        </w:tc>
        <w:tc>
          <w:tcPr>
            <w:tcW w:w="1126" w:type="dxa"/>
            <w:shd w:val="clear" w:color="auto" w:fill="E7E6E6" w:themeFill="background2"/>
          </w:tcPr>
          <w:p w14:paraId="2B5F5852" w14:textId="77777777" w:rsidR="00291E5E" w:rsidRPr="00291E5E" w:rsidRDefault="00291E5E" w:rsidP="00B369CB">
            <w:pPr>
              <w:pStyle w:val="ARTableSubhead"/>
            </w:pPr>
          </w:p>
        </w:tc>
        <w:tc>
          <w:tcPr>
            <w:tcW w:w="1126" w:type="dxa"/>
            <w:shd w:val="clear" w:color="auto" w:fill="E7E6E6" w:themeFill="background2"/>
          </w:tcPr>
          <w:p w14:paraId="03CC1351" w14:textId="77777777" w:rsidR="00291E5E" w:rsidRPr="00291E5E" w:rsidRDefault="00291E5E" w:rsidP="00B369CB">
            <w:pPr>
              <w:pStyle w:val="ARTableSubhead"/>
            </w:pPr>
          </w:p>
        </w:tc>
        <w:tc>
          <w:tcPr>
            <w:tcW w:w="1126" w:type="dxa"/>
            <w:shd w:val="clear" w:color="auto" w:fill="E7E6E6" w:themeFill="background2"/>
          </w:tcPr>
          <w:p w14:paraId="470DAF84" w14:textId="77777777" w:rsidR="00291E5E" w:rsidRPr="00291E5E" w:rsidRDefault="00291E5E" w:rsidP="00B369CB">
            <w:pPr>
              <w:pStyle w:val="ARTableSubhead"/>
            </w:pPr>
          </w:p>
        </w:tc>
        <w:tc>
          <w:tcPr>
            <w:tcW w:w="1300" w:type="dxa"/>
            <w:tcBorders>
              <w:right w:val="single" w:sz="4" w:space="0" w:color="auto"/>
            </w:tcBorders>
            <w:shd w:val="clear" w:color="auto" w:fill="E7E6E6" w:themeFill="background2"/>
          </w:tcPr>
          <w:p w14:paraId="7313316B" w14:textId="77777777" w:rsidR="00291E5E" w:rsidRPr="00291E5E" w:rsidRDefault="00291E5E" w:rsidP="00B369CB">
            <w:pPr>
              <w:pStyle w:val="ARTableSubhead"/>
            </w:pPr>
          </w:p>
        </w:tc>
      </w:tr>
      <w:tr w:rsidR="00291E5E" w:rsidRPr="00291E5E" w14:paraId="36F3046D" w14:textId="77777777" w:rsidTr="00576557">
        <w:trPr>
          <w:trHeight w:val="285"/>
        </w:trPr>
        <w:tc>
          <w:tcPr>
            <w:tcW w:w="4763" w:type="dxa"/>
          </w:tcPr>
          <w:p w14:paraId="55F74241" w14:textId="77777777" w:rsidR="00291E5E" w:rsidRPr="00291E5E" w:rsidRDefault="00291E5E" w:rsidP="00B12301">
            <w:pPr>
              <w:pStyle w:val="ARTableText"/>
            </w:pPr>
            <w:r w:rsidRPr="00291E5E">
              <w:t>Administration</w:t>
            </w:r>
          </w:p>
        </w:tc>
        <w:tc>
          <w:tcPr>
            <w:tcW w:w="1126" w:type="dxa"/>
          </w:tcPr>
          <w:p w14:paraId="09B5A251" w14:textId="77777777" w:rsidR="00291E5E" w:rsidRPr="00291E5E" w:rsidRDefault="00291E5E" w:rsidP="00B12301">
            <w:pPr>
              <w:pStyle w:val="ARTableText"/>
            </w:pPr>
            <w:r w:rsidRPr="00291E5E">
              <w:t>48</w:t>
            </w:r>
          </w:p>
        </w:tc>
        <w:tc>
          <w:tcPr>
            <w:tcW w:w="1126" w:type="dxa"/>
          </w:tcPr>
          <w:p w14:paraId="1820A3B8" w14:textId="77777777" w:rsidR="00291E5E" w:rsidRPr="00291E5E" w:rsidRDefault="00291E5E" w:rsidP="00B12301">
            <w:pPr>
              <w:pStyle w:val="ARTableText"/>
            </w:pPr>
            <w:r w:rsidRPr="00291E5E">
              <w:t>44.86%</w:t>
            </w:r>
          </w:p>
        </w:tc>
        <w:tc>
          <w:tcPr>
            <w:tcW w:w="1126" w:type="dxa"/>
          </w:tcPr>
          <w:p w14:paraId="3735765A" w14:textId="77777777" w:rsidR="00291E5E" w:rsidRPr="00291E5E" w:rsidRDefault="00291E5E" w:rsidP="00B12301">
            <w:pPr>
              <w:pStyle w:val="ARTableText"/>
            </w:pPr>
            <w:r w:rsidRPr="00291E5E">
              <w:t>38</w:t>
            </w:r>
          </w:p>
        </w:tc>
        <w:tc>
          <w:tcPr>
            <w:tcW w:w="1300" w:type="dxa"/>
            <w:tcBorders>
              <w:right w:val="single" w:sz="4" w:space="0" w:color="auto"/>
            </w:tcBorders>
          </w:tcPr>
          <w:p w14:paraId="190A307E" w14:textId="77777777" w:rsidR="00291E5E" w:rsidRPr="00291E5E" w:rsidRDefault="00291E5E" w:rsidP="00B12301">
            <w:pPr>
              <w:pStyle w:val="ARTableText"/>
            </w:pPr>
            <w:r w:rsidRPr="00291E5E">
              <w:t>17.7%</w:t>
            </w:r>
          </w:p>
        </w:tc>
      </w:tr>
      <w:tr w:rsidR="00291E5E" w:rsidRPr="00291E5E" w14:paraId="6E2E49CB" w14:textId="77777777" w:rsidTr="00576557">
        <w:tc>
          <w:tcPr>
            <w:tcW w:w="4763" w:type="dxa"/>
          </w:tcPr>
          <w:p w14:paraId="23FD9B59" w14:textId="77777777" w:rsidR="00291E5E" w:rsidRPr="00291E5E" w:rsidRDefault="00291E5E" w:rsidP="00B12301">
            <w:pPr>
              <w:pStyle w:val="ARTableText"/>
            </w:pPr>
            <w:r w:rsidRPr="00291E5E">
              <w:t>Death</w:t>
            </w:r>
          </w:p>
        </w:tc>
        <w:tc>
          <w:tcPr>
            <w:tcW w:w="1126" w:type="dxa"/>
          </w:tcPr>
          <w:p w14:paraId="533D5F53" w14:textId="77777777" w:rsidR="00291E5E" w:rsidRPr="00291E5E" w:rsidRDefault="00291E5E" w:rsidP="00B12301">
            <w:pPr>
              <w:pStyle w:val="ARTableText"/>
            </w:pPr>
            <w:r w:rsidRPr="00291E5E">
              <w:t>3</w:t>
            </w:r>
          </w:p>
        </w:tc>
        <w:tc>
          <w:tcPr>
            <w:tcW w:w="1126" w:type="dxa"/>
          </w:tcPr>
          <w:p w14:paraId="747EE39E" w14:textId="77777777" w:rsidR="00291E5E" w:rsidRPr="00291E5E" w:rsidRDefault="00291E5E" w:rsidP="00B12301">
            <w:pPr>
              <w:pStyle w:val="ARTableText"/>
            </w:pPr>
            <w:r w:rsidRPr="00291E5E">
              <w:t>2.80%</w:t>
            </w:r>
          </w:p>
        </w:tc>
        <w:tc>
          <w:tcPr>
            <w:tcW w:w="1126" w:type="dxa"/>
          </w:tcPr>
          <w:p w14:paraId="42EF16E4" w14:textId="77777777" w:rsidR="00291E5E" w:rsidRPr="00291E5E" w:rsidRDefault="00291E5E" w:rsidP="00B12301">
            <w:pPr>
              <w:pStyle w:val="ARTableText"/>
            </w:pPr>
            <w:r w:rsidRPr="00291E5E">
              <w:t>99</w:t>
            </w:r>
          </w:p>
        </w:tc>
        <w:tc>
          <w:tcPr>
            <w:tcW w:w="1300" w:type="dxa"/>
            <w:tcBorders>
              <w:right w:val="single" w:sz="4" w:space="0" w:color="auto"/>
            </w:tcBorders>
          </w:tcPr>
          <w:p w14:paraId="694DF148" w14:textId="77777777" w:rsidR="00291E5E" w:rsidRPr="00291E5E" w:rsidRDefault="00291E5E" w:rsidP="00B12301">
            <w:pPr>
              <w:pStyle w:val="ARTableText"/>
            </w:pPr>
            <w:r w:rsidRPr="00291E5E">
              <w:t>43.0%</w:t>
            </w:r>
          </w:p>
        </w:tc>
      </w:tr>
      <w:tr w:rsidR="00291E5E" w:rsidRPr="00291E5E" w14:paraId="684DC9DB" w14:textId="77777777" w:rsidTr="00576557">
        <w:trPr>
          <w:trHeight w:val="115"/>
        </w:trPr>
        <w:tc>
          <w:tcPr>
            <w:tcW w:w="4763" w:type="dxa"/>
          </w:tcPr>
          <w:p w14:paraId="00D1ED82" w14:textId="77777777" w:rsidR="00291E5E" w:rsidRPr="00291E5E" w:rsidRDefault="00291E5E" w:rsidP="00B12301">
            <w:pPr>
              <w:pStyle w:val="ARTableText"/>
            </w:pPr>
            <w:r w:rsidRPr="00291E5E">
              <w:t>Disability</w:t>
            </w:r>
          </w:p>
        </w:tc>
        <w:tc>
          <w:tcPr>
            <w:tcW w:w="1126" w:type="dxa"/>
          </w:tcPr>
          <w:p w14:paraId="109131FA" w14:textId="77777777" w:rsidR="00291E5E" w:rsidRPr="00291E5E" w:rsidRDefault="00291E5E" w:rsidP="00B12301">
            <w:pPr>
              <w:pStyle w:val="ARTableText"/>
            </w:pPr>
            <w:r w:rsidRPr="00291E5E">
              <w:t>56</w:t>
            </w:r>
          </w:p>
        </w:tc>
        <w:tc>
          <w:tcPr>
            <w:tcW w:w="1126" w:type="dxa"/>
          </w:tcPr>
          <w:p w14:paraId="2D36FB92" w14:textId="77777777" w:rsidR="00291E5E" w:rsidRPr="00291E5E" w:rsidRDefault="00291E5E" w:rsidP="00B12301">
            <w:pPr>
              <w:pStyle w:val="ARTableText"/>
            </w:pPr>
            <w:r w:rsidRPr="00291E5E">
              <w:t>52.34%</w:t>
            </w:r>
          </w:p>
        </w:tc>
        <w:tc>
          <w:tcPr>
            <w:tcW w:w="1126" w:type="dxa"/>
          </w:tcPr>
          <w:p w14:paraId="315DD46A" w14:textId="77777777" w:rsidR="00291E5E" w:rsidRPr="00291E5E" w:rsidRDefault="00291E5E" w:rsidP="00B12301">
            <w:pPr>
              <w:pStyle w:val="ARTableText"/>
            </w:pPr>
            <w:r w:rsidRPr="00291E5E">
              <w:t>78</w:t>
            </w:r>
          </w:p>
        </w:tc>
        <w:tc>
          <w:tcPr>
            <w:tcW w:w="1300" w:type="dxa"/>
            <w:tcBorders>
              <w:right w:val="single" w:sz="4" w:space="0" w:color="auto"/>
            </w:tcBorders>
          </w:tcPr>
          <w:p w14:paraId="77AAA375" w14:textId="77777777" w:rsidR="00291E5E" w:rsidRPr="00291E5E" w:rsidRDefault="00291E5E" w:rsidP="00B12301">
            <w:pPr>
              <w:pStyle w:val="ARTableText"/>
            </w:pPr>
            <w:r w:rsidRPr="00291E5E">
              <w:t>46.1%</w:t>
            </w:r>
          </w:p>
        </w:tc>
      </w:tr>
      <w:tr w:rsidR="00291E5E" w:rsidRPr="00291E5E" w14:paraId="10BD0EFB" w14:textId="77777777" w:rsidTr="00576557">
        <w:tc>
          <w:tcPr>
            <w:tcW w:w="9441" w:type="dxa"/>
            <w:gridSpan w:val="5"/>
            <w:tcBorders>
              <w:right w:val="single" w:sz="4" w:space="0" w:color="auto"/>
            </w:tcBorders>
          </w:tcPr>
          <w:p w14:paraId="0B45D305" w14:textId="77777777" w:rsidR="00291E5E" w:rsidRPr="00291E5E" w:rsidRDefault="00291E5E" w:rsidP="00B12301">
            <w:pPr>
              <w:pStyle w:val="ARTableText"/>
            </w:pPr>
          </w:p>
        </w:tc>
      </w:tr>
      <w:tr w:rsidR="00291E5E" w:rsidRPr="00CE2C01" w14:paraId="47613252" w14:textId="77777777" w:rsidTr="00576557">
        <w:tc>
          <w:tcPr>
            <w:tcW w:w="4763" w:type="dxa"/>
          </w:tcPr>
          <w:p w14:paraId="3FF47472" w14:textId="77777777" w:rsidR="00291E5E" w:rsidRPr="00CE2C01" w:rsidRDefault="00291E5E" w:rsidP="00B12301">
            <w:pPr>
              <w:pStyle w:val="ARTableText"/>
            </w:pPr>
            <w:r w:rsidRPr="00CE2C01">
              <w:t>Total complaints determined in review</w:t>
            </w:r>
          </w:p>
        </w:tc>
        <w:tc>
          <w:tcPr>
            <w:tcW w:w="1126" w:type="dxa"/>
          </w:tcPr>
          <w:p w14:paraId="20241B46" w14:textId="77777777" w:rsidR="00291E5E" w:rsidRPr="00CE2C01" w:rsidRDefault="00291E5E" w:rsidP="00B12301">
            <w:pPr>
              <w:pStyle w:val="ARTableText"/>
            </w:pPr>
            <w:r w:rsidRPr="00CE2C01">
              <w:t>107</w:t>
            </w:r>
          </w:p>
        </w:tc>
        <w:tc>
          <w:tcPr>
            <w:tcW w:w="1126" w:type="dxa"/>
          </w:tcPr>
          <w:p w14:paraId="24370873" w14:textId="77777777" w:rsidR="00291E5E" w:rsidRPr="00CE2C01" w:rsidRDefault="00291E5E" w:rsidP="00B12301">
            <w:pPr>
              <w:pStyle w:val="ARTableText"/>
            </w:pPr>
          </w:p>
        </w:tc>
        <w:tc>
          <w:tcPr>
            <w:tcW w:w="1126" w:type="dxa"/>
          </w:tcPr>
          <w:p w14:paraId="6E4BEA35" w14:textId="77777777" w:rsidR="00291E5E" w:rsidRPr="00CE2C01" w:rsidRDefault="00291E5E" w:rsidP="00B12301">
            <w:pPr>
              <w:pStyle w:val="ARTableText"/>
            </w:pPr>
            <w:r w:rsidRPr="00CE2C01">
              <w:t>215</w:t>
            </w:r>
          </w:p>
        </w:tc>
        <w:tc>
          <w:tcPr>
            <w:tcW w:w="1300" w:type="dxa"/>
            <w:tcBorders>
              <w:right w:val="single" w:sz="4" w:space="0" w:color="auto"/>
            </w:tcBorders>
          </w:tcPr>
          <w:p w14:paraId="7164E990" w14:textId="77777777" w:rsidR="00291E5E" w:rsidRPr="00CE2C01" w:rsidRDefault="00291E5E" w:rsidP="00B12301">
            <w:pPr>
              <w:pStyle w:val="ARTableText"/>
            </w:pPr>
          </w:p>
        </w:tc>
      </w:tr>
      <w:tr w:rsidR="00291E5E" w:rsidRPr="00291E5E" w14:paraId="5BDD7A5C" w14:textId="77777777" w:rsidTr="00576557">
        <w:tc>
          <w:tcPr>
            <w:tcW w:w="4763" w:type="dxa"/>
          </w:tcPr>
          <w:p w14:paraId="76D45B1D" w14:textId="77777777" w:rsidR="00291E5E" w:rsidRPr="00291E5E" w:rsidRDefault="00291E5E" w:rsidP="00B12301">
            <w:pPr>
              <w:pStyle w:val="ARTableText"/>
            </w:pPr>
            <w:r w:rsidRPr="00291E5E">
              <w:t>% of all complaints within jurisdiction</w:t>
            </w:r>
          </w:p>
        </w:tc>
        <w:tc>
          <w:tcPr>
            <w:tcW w:w="1126" w:type="dxa"/>
          </w:tcPr>
          <w:p w14:paraId="4BB853E2" w14:textId="77777777" w:rsidR="00291E5E" w:rsidRPr="00291E5E" w:rsidRDefault="00291E5E" w:rsidP="00B12301">
            <w:pPr>
              <w:pStyle w:val="ARTableText"/>
            </w:pPr>
          </w:p>
        </w:tc>
        <w:tc>
          <w:tcPr>
            <w:tcW w:w="1126" w:type="dxa"/>
          </w:tcPr>
          <w:p w14:paraId="7976D1C0" w14:textId="77777777" w:rsidR="00291E5E" w:rsidRPr="00291E5E" w:rsidRDefault="00291E5E" w:rsidP="00B12301">
            <w:pPr>
              <w:pStyle w:val="ARTableText"/>
            </w:pPr>
            <w:r w:rsidRPr="00291E5E">
              <w:t>64.46%</w:t>
            </w:r>
          </w:p>
        </w:tc>
        <w:tc>
          <w:tcPr>
            <w:tcW w:w="1126" w:type="dxa"/>
          </w:tcPr>
          <w:p w14:paraId="5E59ABFC" w14:textId="77777777" w:rsidR="00291E5E" w:rsidRPr="00291E5E" w:rsidRDefault="00291E5E" w:rsidP="00B12301">
            <w:pPr>
              <w:pStyle w:val="ARTableText"/>
            </w:pPr>
          </w:p>
        </w:tc>
        <w:tc>
          <w:tcPr>
            <w:tcW w:w="1300" w:type="dxa"/>
            <w:tcBorders>
              <w:right w:val="single" w:sz="4" w:space="0" w:color="auto"/>
            </w:tcBorders>
          </w:tcPr>
          <w:p w14:paraId="3127B87E" w14:textId="77777777" w:rsidR="00291E5E" w:rsidRPr="00291E5E" w:rsidRDefault="00291E5E" w:rsidP="00B12301">
            <w:pPr>
              <w:pStyle w:val="ARTableText"/>
            </w:pPr>
            <w:r w:rsidRPr="00291E5E">
              <w:t>19.1%</w:t>
            </w:r>
          </w:p>
        </w:tc>
      </w:tr>
    </w:tbl>
    <w:p w14:paraId="6BC53155" w14:textId="77777777" w:rsidR="00291E5E" w:rsidRPr="00291E5E" w:rsidRDefault="00291E5E" w:rsidP="00B12301"/>
    <w:p w14:paraId="07027987" w14:textId="77777777" w:rsidR="00291E5E" w:rsidRPr="00291E5E" w:rsidRDefault="00291E5E" w:rsidP="00B12301">
      <w:pPr>
        <w:rPr>
          <w:highlight w:val="yellow"/>
        </w:rPr>
      </w:pPr>
      <w:r w:rsidRPr="00291E5E">
        <w:rPr>
          <w:highlight w:val="yellow"/>
        </w:rPr>
        <w:br w:type="page"/>
      </w:r>
    </w:p>
    <w:p w14:paraId="04FCD609" w14:textId="6E8B8844" w:rsidR="00291E5E" w:rsidRPr="00291E5E" w:rsidRDefault="00291E5E" w:rsidP="00D579F2">
      <w:pPr>
        <w:pStyle w:val="ARH1-Mainsectionheading"/>
      </w:pPr>
      <w:bookmarkStart w:id="24" w:name="_Toc82442775"/>
      <w:r w:rsidRPr="00291E5E">
        <w:lastRenderedPageBreak/>
        <w:t>Chairperson and Deputy Chairperson</w:t>
      </w:r>
      <w:r w:rsidR="00EC3770">
        <w:t>, July</w:t>
      </w:r>
      <w:r w:rsidR="00576557">
        <w:t> </w:t>
      </w:r>
      <w:r w:rsidR="00EC3770">
        <w:t>–</w:t>
      </w:r>
      <w:r w:rsidR="00576557">
        <w:t> </w:t>
      </w:r>
      <w:r w:rsidR="00EC3770">
        <w:t>December 2020</w:t>
      </w:r>
      <w:bookmarkEnd w:id="24"/>
    </w:p>
    <w:p w14:paraId="72ABCE44" w14:textId="77777777" w:rsidR="00291E5E" w:rsidRPr="00291E5E" w:rsidRDefault="00291E5E" w:rsidP="00B12301">
      <w:r w:rsidRPr="00291E5E">
        <w:t>The terms of the Chairperson and Deputy Chairperson ended on 31 December 2021.</w:t>
      </w:r>
    </w:p>
    <w:p w14:paraId="71D430C6" w14:textId="77777777" w:rsidR="00291E5E" w:rsidRPr="00291E5E" w:rsidRDefault="00291E5E" w:rsidP="00B12301">
      <w:r w:rsidRPr="00291E5E">
        <w:rPr>
          <w:noProof/>
        </w:rPr>
        <w:drawing>
          <wp:inline distT="0" distB="0" distL="0" distR="0" wp14:anchorId="3060B85B" wp14:editId="0E539A8F">
            <wp:extent cx="2111553" cy="1710311"/>
            <wp:effectExtent l="0" t="8890" r="0" b="0"/>
            <wp:docPr id="2" name="Picture 2" descr="Picture of John Si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John Simpson"/>
                    <pic:cNvPicPr/>
                  </pic:nvPicPr>
                  <pic:blipFill rotWithShape="1">
                    <a:blip r:embed="rId21" cstate="print">
                      <a:extLst>
                        <a:ext uri="{28A0092B-C50C-407E-A947-70E740481C1C}">
                          <a14:useLocalDpi xmlns:a14="http://schemas.microsoft.com/office/drawing/2010/main" val="0"/>
                        </a:ext>
                      </a:extLst>
                    </a:blip>
                    <a:srcRect/>
                    <a:stretch/>
                  </pic:blipFill>
                  <pic:spPr bwMode="auto">
                    <a:xfrm rot="5400000">
                      <a:off x="0" y="0"/>
                      <a:ext cx="2128831" cy="1724306"/>
                    </a:xfrm>
                    <a:prstGeom prst="rect">
                      <a:avLst/>
                    </a:prstGeom>
                    <a:ln>
                      <a:noFill/>
                    </a:ln>
                    <a:extLst>
                      <a:ext uri="{53640926-AAD7-44D8-BBD7-CCE9431645EC}">
                        <a14:shadowObscured xmlns:a14="http://schemas.microsoft.com/office/drawing/2010/main"/>
                      </a:ext>
                    </a:extLst>
                  </pic:spPr>
                </pic:pic>
              </a:graphicData>
            </a:graphic>
          </wp:inline>
        </w:drawing>
      </w:r>
    </w:p>
    <w:p w14:paraId="2255A1DE" w14:textId="438C9A83" w:rsidR="00291E5E" w:rsidRPr="00547421" w:rsidRDefault="00291E5E" w:rsidP="00547421">
      <w:pPr>
        <w:rPr>
          <w:b/>
          <w:bCs/>
        </w:rPr>
      </w:pPr>
      <w:r w:rsidRPr="00547421">
        <w:rPr>
          <w:b/>
          <w:bCs/>
        </w:rPr>
        <w:t>Chairperson</w:t>
      </w:r>
      <w:r w:rsidR="00D579F2" w:rsidRPr="00547421">
        <w:rPr>
          <w:b/>
          <w:bCs/>
        </w:rPr>
        <w:br/>
      </w:r>
      <w:r w:rsidRPr="00547421">
        <w:rPr>
          <w:b/>
          <w:bCs/>
        </w:rPr>
        <w:t>John Simpson</w:t>
      </w:r>
    </w:p>
    <w:p w14:paraId="4A2F84B5" w14:textId="77777777" w:rsidR="00291E5E" w:rsidRPr="00291E5E" w:rsidRDefault="00291E5E" w:rsidP="00B12301">
      <w:pPr>
        <w:rPr>
          <w:lang w:eastAsia="en-AU"/>
        </w:rPr>
      </w:pPr>
      <w:r w:rsidRPr="00291E5E">
        <w:rPr>
          <w:lang w:eastAsia="en-AU"/>
        </w:rPr>
        <w:t>John took up his appointment as Chairperson of the Tribunal on 16 December 2019. Bringing extensive private and public sector experience to the role, John was Chairperson of ESSSuper for several years prior to joining the Tribunal and held a senior executive role at National Australia Bank for four years.</w:t>
      </w:r>
    </w:p>
    <w:p w14:paraId="1C030366" w14:textId="0D73ED4E" w:rsidR="00291E5E" w:rsidRPr="00291E5E" w:rsidRDefault="00291E5E" w:rsidP="00B12301">
      <w:pPr>
        <w:rPr>
          <w:lang w:eastAsia="en-AU"/>
        </w:rPr>
      </w:pPr>
      <w:r w:rsidRPr="00291E5E">
        <w:rPr>
          <w:lang w:eastAsia="en-AU"/>
        </w:rPr>
        <w:t>Prior to working at NAB, John had a career in the energy sector working with Shell Australia and Shell International during the 1980s/90s. He was appointed a Director of Shell Australia and Shell Energy Holdings Australia Limited in 2003. John holds a Degree in English from the University of Melbourne. He has a long</w:t>
      </w:r>
      <w:r w:rsidR="0050078B">
        <w:rPr>
          <w:lang w:eastAsia="en-AU"/>
        </w:rPr>
        <w:noBreakHyphen/>
      </w:r>
      <w:r w:rsidRPr="00291E5E">
        <w:rPr>
          <w:lang w:eastAsia="en-AU"/>
        </w:rPr>
        <w:t>standing interest in education and currently serves as a Member of Council at Monash University and as an adviser to Teach for Australia. John is a Fellow of the Canberra based Centre for Strategy &amp; Governance.</w:t>
      </w:r>
    </w:p>
    <w:p w14:paraId="3AA62C42" w14:textId="77777777" w:rsidR="00291E5E" w:rsidRPr="00291E5E" w:rsidRDefault="00291E5E" w:rsidP="00B12301">
      <w:pPr>
        <w:rPr>
          <w:lang w:eastAsia="en-AU"/>
        </w:rPr>
      </w:pPr>
      <w:r w:rsidRPr="00291E5E">
        <w:rPr>
          <w:lang w:eastAsia="en-AU"/>
        </w:rPr>
        <w:t>John has served as a director of a number of community and philanthropic organisations. He was Deputy Chair of the National Science &amp; Technology Centre (Questacon) based in Canberra, a Director the Melbourne Symphony Orchestra, and a Director of the food rescue charity, SecondBite.</w:t>
      </w:r>
    </w:p>
    <w:p w14:paraId="7425402B" w14:textId="77777777" w:rsidR="00291E5E" w:rsidRPr="00291E5E" w:rsidRDefault="00291E5E" w:rsidP="00B12301">
      <w:pPr>
        <w:rPr>
          <w:lang w:eastAsia="en-AU"/>
        </w:rPr>
      </w:pPr>
      <w:r w:rsidRPr="00291E5E">
        <w:rPr>
          <w:lang w:eastAsia="en-AU"/>
        </w:rPr>
        <w:br w:type="page"/>
      </w:r>
    </w:p>
    <w:p w14:paraId="0454035F" w14:textId="77777777" w:rsidR="00291E5E" w:rsidRPr="00291E5E" w:rsidRDefault="00291E5E" w:rsidP="00B12301">
      <w:r w:rsidRPr="00291E5E">
        <w:rPr>
          <w:noProof/>
        </w:rPr>
        <w:lastRenderedPageBreak/>
        <w:drawing>
          <wp:inline distT="0" distB="0" distL="0" distR="0" wp14:anchorId="0AF99005" wp14:editId="166AFA2C">
            <wp:extent cx="1739003" cy="1905000"/>
            <wp:effectExtent l="0" t="0" r="0" b="0"/>
            <wp:docPr id="3" name="Picture 3" descr="Picture of Ragini Rajadu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icture of Ragini Rajadurai"/>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1754704" cy="1922200"/>
                    </a:xfrm>
                    <a:prstGeom prst="rect">
                      <a:avLst/>
                    </a:prstGeom>
                    <a:ln>
                      <a:noFill/>
                    </a:ln>
                    <a:extLst>
                      <a:ext uri="{53640926-AAD7-44D8-BBD7-CCE9431645EC}">
                        <a14:shadowObscured xmlns:a14="http://schemas.microsoft.com/office/drawing/2010/main"/>
                      </a:ext>
                    </a:extLst>
                  </pic:spPr>
                </pic:pic>
              </a:graphicData>
            </a:graphic>
          </wp:inline>
        </w:drawing>
      </w:r>
    </w:p>
    <w:p w14:paraId="1E4C5672" w14:textId="5B51D1D0" w:rsidR="00291E5E" w:rsidRPr="00547421" w:rsidRDefault="00291E5E" w:rsidP="00B12301">
      <w:pPr>
        <w:rPr>
          <w:b/>
          <w:bCs/>
        </w:rPr>
      </w:pPr>
      <w:r w:rsidRPr="00547421">
        <w:rPr>
          <w:b/>
          <w:bCs/>
        </w:rPr>
        <w:t>Deputy Chairperson</w:t>
      </w:r>
      <w:r w:rsidR="00547421" w:rsidRPr="00547421">
        <w:rPr>
          <w:b/>
          <w:bCs/>
        </w:rPr>
        <w:br/>
      </w:r>
      <w:r w:rsidRPr="00547421">
        <w:rPr>
          <w:b/>
          <w:bCs/>
        </w:rPr>
        <w:t>Ragini Rajadurai</w:t>
      </w:r>
    </w:p>
    <w:p w14:paraId="30A2648D" w14:textId="02B6F830" w:rsidR="00291E5E" w:rsidRPr="00291E5E" w:rsidRDefault="00291E5E" w:rsidP="00B12301">
      <w:r w:rsidRPr="00291E5E">
        <w:t>Ragini was appointed as Deputy Chairperson of the Tribunal in April 2015 for a five</w:t>
      </w:r>
      <w:r w:rsidR="00CB6E9E">
        <w:t xml:space="preserve"> </w:t>
      </w:r>
      <w:r w:rsidRPr="00291E5E">
        <w:t>year term and was appointed Acting Chairperson of the Tribunal in August 2019. She resumed her role as Deputy Chairperson on 16 December 2019 and in April 2020 Ragini</w:t>
      </w:r>
      <w:r w:rsidR="0050078B">
        <w:t>’</w:t>
      </w:r>
      <w:r w:rsidRPr="00291E5E">
        <w:t xml:space="preserve">s appointment as Deputy Chairperson was extended until 31 December 2020 to see the Tribunal through to closure. Prior to her appointment as Deputy Chairperson, Ragini was a Tribunal Member for three years. </w:t>
      </w:r>
    </w:p>
    <w:p w14:paraId="60F850DC" w14:textId="77777777" w:rsidR="00291E5E" w:rsidRPr="00291E5E" w:rsidRDefault="00291E5E" w:rsidP="00B12301">
      <w:r w:rsidRPr="00291E5E">
        <w:t xml:space="preserve">Ragini has a strong commitment to alternate dispute resolution and has extensive experience in the law and financial services. She has been a barrister practicing at the Victorian Bar, lecturer in law, Deputy Tolling Customer Ombudsman and has also held senior executive roles with both the General Insurance Ombudsman Service and the Financial Ombudsman Service. Ragini holds a Bachelor of Laws, a Bachelor of Jurisprudence and a Master of Business Administration, and is an experienced mediator. </w:t>
      </w:r>
    </w:p>
    <w:p w14:paraId="6EB35DCF" w14:textId="3FDA6360" w:rsidR="00291E5E" w:rsidRPr="00291E5E" w:rsidRDefault="00291E5E" w:rsidP="00D579F2">
      <w:pPr>
        <w:pStyle w:val="ARH1-Mainsectionheading"/>
        <w:rPr>
          <w:color w:val="7F7F7F" w:themeColor="text1" w:themeTint="80"/>
        </w:rPr>
      </w:pPr>
      <w:bookmarkStart w:id="25" w:name="_Hlk47520922"/>
      <w:r w:rsidRPr="00291E5E">
        <w:rPr>
          <w:color w:val="7F7F7F" w:themeColor="text1" w:themeTint="80"/>
        </w:rPr>
        <w:br w:type="page"/>
      </w:r>
      <w:bookmarkStart w:id="26" w:name="_Toc82442776"/>
      <w:bookmarkEnd w:id="25"/>
      <w:r w:rsidRPr="00291E5E">
        <w:lastRenderedPageBreak/>
        <w:t>Tribunal Members</w:t>
      </w:r>
      <w:bookmarkEnd w:id="26"/>
    </w:p>
    <w:p w14:paraId="7222CBC7" w14:textId="77777777" w:rsidR="00291E5E" w:rsidRPr="00291E5E" w:rsidRDefault="00291E5E" w:rsidP="00B12301">
      <w:r w:rsidRPr="00291E5E">
        <w:t>The Tribunal operated with a number of Tribunal Members appointed by the Minister, with each member serving a set term. They were drawn from superannuation, insurance, government, legal, medical and actuarial backgrounds.</w:t>
      </w:r>
    </w:p>
    <w:p w14:paraId="756871BF" w14:textId="147C4CE3" w:rsidR="00181552" w:rsidRPr="00291E5E" w:rsidRDefault="00181552" w:rsidP="00D579F2">
      <w:pPr>
        <w:pStyle w:val="ARH2-Bodycopyheadinglevel1"/>
      </w:pPr>
      <w:r w:rsidRPr="00291E5E">
        <w:t xml:space="preserve">Tribunal Members </w:t>
      </w:r>
    </w:p>
    <w:tbl>
      <w:tblPr>
        <w:tblStyle w:val="TableGrid"/>
        <w:tblW w:w="5000" w:type="pct"/>
        <w:tblLook w:val="04A0" w:firstRow="1" w:lastRow="0" w:firstColumn="1" w:lastColumn="0" w:noHBand="0" w:noVBand="1"/>
      </w:tblPr>
      <w:tblGrid>
        <w:gridCol w:w="3114"/>
        <w:gridCol w:w="3139"/>
        <w:gridCol w:w="2763"/>
      </w:tblGrid>
      <w:tr w:rsidR="00181552" w:rsidRPr="00291E5E" w14:paraId="4E6F5A62" w14:textId="77777777" w:rsidTr="00576557">
        <w:tc>
          <w:tcPr>
            <w:tcW w:w="3114" w:type="dxa"/>
            <w:shd w:val="clear" w:color="auto" w:fill="0072CE"/>
          </w:tcPr>
          <w:p w14:paraId="3D199355" w14:textId="77777777" w:rsidR="00181552" w:rsidRPr="00291E5E" w:rsidRDefault="00181552" w:rsidP="00B12301">
            <w:pPr>
              <w:pStyle w:val="ARTableHeader"/>
            </w:pPr>
            <w:r w:rsidRPr="00291E5E">
              <w:t>Member</w:t>
            </w:r>
          </w:p>
        </w:tc>
        <w:tc>
          <w:tcPr>
            <w:tcW w:w="3139" w:type="dxa"/>
            <w:shd w:val="clear" w:color="auto" w:fill="0072CE"/>
          </w:tcPr>
          <w:p w14:paraId="1935F15C" w14:textId="77777777" w:rsidR="00181552" w:rsidRPr="00291E5E" w:rsidRDefault="00181552" w:rsidP="00B12301">
            <w:pPr>
              <w:pStyle w:val="ARTableHeader"/>
            </w:pPr>
            <w:r w:rsidRPr="00291E5E">
              <w:t>Commencement of current term</w:t>
            </w:r>
          </w:p>
        </w:tc>
        <w:tc>
          <w:tcPr>
            <w:tcW w:w="2763" w:type="dxa"/>
            <w:shd w:val="clear" w:color="auto" w:fill="0072CE"/>
          </w:tcPr>
          <w:p w14:paraId="457902DB" w14:textId="77777777" w:rsidR="00181552" w:rsidRPr="00291E5E" w:rsidRDefault="00181552" w:rsidP="00B12301">
            <w:pPr>
              <w:pStyle w:val="ARTableHeader"/>
            </w:pPr>
            <w:r w:rsidRPr="00291E5E">
              <w:t>End of current term</w:t>
            </w:r>
          </w:p>
        </w:tc>
      </w:tr>
      <w:tr w:rsidR="00181552" w:rsidRPr="00291E5E" w14:paraId="1C7675CE" w14:textId="77777777" w:rsidTr="00576557">
        <w:tc>
          <w:tcPr>
            <w:tcW w:w="3114" w:type="dxa"/>
          </w:tcPr>
          <w:p w14:paraId="20EB3EBD" w14:textId="77777777" w:rsidR="00181552" w:rsidRPr="00291E5E" w:rsidRDefault="00181552" w:rsidP="00B12301">
            <w:pPr>
              <w:pStyle w:val="ARTableText"/>
            </w:pPr>
            <w:r w:rsidRPr="00291E5E">
              <w:t>Andrew Boxall</w:t>
            </w:r>
          </w:p>
        </w:tc>
        <w:tc>
          <w:tcPr>
            <w:tcW w:w="3139" w:type="dxa"/>
          </w:tcPr>
          <w:p w14:paraId="7BD2AA07" w14:textId="77777777" w:rsidR="00181552" w:rsidRPr="00291E5E" w:rsidRDefault="00181552" w:rsidP="00B12301">
            <w:pPr>
              <w:pStyle w:val="ARTableText"/>
            </w:pPr>
            <w:r w:rsidRPr="00291E5E">
              <w:t>14 December 2016</w:t>
            </w:r>
          </w:p>
        </w:tc>
        <w:tc>
          <w:tcPr>
            <w:tcW w:w="2763" w:type="dxa"/>
          </w:tcPr>
          <w:p w14:paraId="5BD1D8C9" w14:textId="77777777" w:rsidR="00181552" w:rsidRPr="00291E5E" w:rsidRDefault="00181552" w:rsidP="00B12301">
            <w:pPr>
              <w:pStyle w:val="ARTableText"/>
            </w:pPr>
            <w:r w:rsidRPr="00291E5E">
              <w:t>13 December 2020</w:t>
            </w:r>
          </w:p>
        </w:tc>
      </w:tr>
      <w:tr w:rsidR="00181552" w:rsidRPr="00291E5E" w14:paraId="63667CA9" w14:textId="77777777" w:rsidTr="00576557">
        <w:tc>
          <w:tcPr>
            <w:tcW w:w="3114" w:type="dxa"/>
          </w:tcPr>
          <w:p w14:paraId="07923110" w14:textId="77777777" w:rsidR="00181552" w:rsidRPr="00291E5E" w:rsidRDefault="00181552" w:rsidP="00B12301">
            <w:pPr>
              <w:pStyle w:val="ARTableText"/>
            </w:pPr>
            <w:r w:rsidRPr="00291E5E">
              <w:t>Amanda MacDonald</w:t>
            </w:r>
          </w:p>
        </w:tc>
        <w:tc>
          <w:tcPr>
            <w:tcW w:w="3139" w:type="dxa"/>
          </w:tcPr>
          <w:p w14:paraId="0E70E265" w14:textId="77777777" w:rsidR="00181552" w:rsidRPr="00291E5E" w:rsidRDefault="00181552" w:rsidP="00B12301">
            <w:pPr>
              <w:pStyle w:val="ARTableText"/>
            </w:pPr>
            <w:r w:rsidRPr="00291E5E">
              <w:t>5 August 2019</w:t>
            </w:r>
          </w:p>
        </w:tc>
        <w:tc>
          <w:tcPr>
            <w:tcW w:w="2763" w:type="dxa"/>
          </w:tcPr>
          <w:p w14:paraId="1BA9FD48" w14:textId="77777777" w:rsidR="00181552" w:rsidRPr="00291E5E" w:rsidRDefault="00181552" w:rsidP="00B12301">
            <w:pPr>
              <w:pStyle w:val="ARTableText"/>
            </w:pPr>
            <w:r w:rsidRPr="00291E5E">
              <w:t>4 August 2021</w:t>
            </w:r>
          </w:p>
        </w:tc>
      </w:tr>
      <w:tr w:rsidR="00181552" w:rsidRPr="00291E5E" w14:paraId="6C337D4F" w14:textId="77777777" w:rsidTr="00576557">
        <w:tc>
          <w:tcPr>
            <w:tcW w:w="3114" w:type="dxa"/>
          </w:tcPr>
          <w:p w14:paraId="6DC94080" w14:textId="77777777" w:rsidR="00181552" w:rsidRPr="00291E5E" w:rsidRDefault="00181552" w:rsidP="00B12301">
            <w:pPr>
              <w:pStyle w:val="ARTableText"/>
            </w:pPr>
            <w:r w:rsidRPr="00291E5E">
              <w:t>Angela Williams</w:t>
            </w:r>
          </w:p>
        </w:tc>
        <w:tc>
          <w:tcPr>
            <w:tcW w:w="3139" w:type="dxa"/>
          </w:tcPr>
          <w:p w14:paraId="5CBC57EC" w14:textId="77777777" w:rsidR="00181552" w:rsidRPr="00291E5E" w:rsidRDefault="00181552" w:rsidP="00B12301">
            <w:pPr>
              <w:pStyle w:val="ARTableText"/>
            </w:pPr>
            <w:r w:rsidRPr="00291E5E">
              <w:t>14 December 2016</w:t>
            </w:r>
          </w:p>
        </w:tc>
        <w:tc>
          <w:tcPr>
            <w:tcW w:w="2763" w:type="dxa"/>
          </w:tcPr>
          <w:p w14:paraId="4085E874" w14:textId="77777777" w:rsidR="00181552" w:rsidRPr="00291E5E" w:rsidRDefault="00181552" w:rsidP="00B12301">
            <w:pPr>
              <w:pStyle w:val="ARTableText"/>
            </w:pPr>
            <w:r w:rsidRPr="00291E5E">
              <w:t>13 December 2020</w:t>
            </w:r>
          </w:p>
        </w:tc>
      </w:tr>
      <w:tr w:rsidR="00181552" w:rsidRPr="00291E5E" w14:paraId="55B895AA" w14:textId="77777777" w:rsidTr="00576557">
        <w:tc>
          <w:tcPr>
            <w:tcW w:w="3114" w:type="dxa"/>
          </w:tcPr>
          <w:p w14:paraId="0E5B315E" w14:textId="77777777" w:rsidR="00181552" w:rsidRPr="00291E5E" w:rsidRDefault="00181552" w:rsidP="00B12301">
            <w:pPr>
              <w:pStyle w:val="ARTableText"/>
            </w:pPr>
            <w:r w:rsidRPr="00291E5E">
              <w:t>Annette Carruthers</w:t>
            </w:r>
          </w:p>
        </w:tc>
        <w:tc>
          <w:tcPr>
            <w:tcW w:w="3139" w:type="dxa"/>
          </w:tcPr>
          <w:p w14:paraId="5B81ABC1" w14:textId="77777777" w:rsidR="00181552" w:rsidRPr="00291E5E" w:rsidRDefault="00181552" w:rsidP="00B12301">
            <w:pPr>
              <w:pStyle w:val="ARTableText"/>
            </w:pPr>
            <w:r w:rsidRPr="00291E5E">
              <w:t>14 December 2016</w:t>
            </w:r>
          </w:p>
        </w:tc>
        <w:tc>
          <w:tcPr>
            <w:tcW w:w="2763" w:type="dxa"/>
          </w:tcPr>
          <w:p w14:paraId="18A6E554" w14:textId="77777777" w:rsidR="00181552" w:rsidRPr="00291E5E" w:rsidRDefault="00181552" w:rsidP="00B12301">
            <w:pPr>
              <w:pStyle w:val="ARTableText"/>
            </w:pPr>
            <w:r w:rsidRPr="00291E5E">
              <w:t>13 December 2020</w:t>
            </w:r>
          </w:p>
        </w:tc>
      </w:tr>
      <w:tr w:rsidR="00181552" w:rsidRPr="00291E5E" w14:paraId="3BD8696E" w14:textId="77777777" w:rsidTr="00576557">
        <w:tc>
          <w:tcPr>
            <w:tcW w:w="3114" w:type="dxa"/>
          </w:tcPr>
          <w:p w14:paraId="255285E8" w14:textId="77777777" w:rsidR="00181552" w:rsidRPr="00291E5E" w:rsidRDefault="00181552" w:rsidP="00B12301">
            <w:pPr>
              <w:pStyle w:val="ARTableText"/>
            </w:pPr>
            <w:r w:rsidRPr="00291E5E">
              <w:t>Beth McConnell</w:t>
            </w:r>
          </w:p>
        </w:tc>
        <w:tc>
          <w:tcPr>
            <w:tcW w:w="3139" w:type="dxa"/>
          </w:tcPr>
          <w:p w14:paraId="69E7E561" w14:textId="77777777" w:rsidR="00181552" w:rsidRPr="00291E5E" w:rsidRDefault="00181552" w:rsidP="00B12301">
            <w:pPr>
              <w:pStyle w:val="ARTableText"/>
            </w:pPr>
            <w:r w:rsidRPr="00291E5E">
              <w:t>5 August 2019</w:t>
            </w:r>
          </w:p>
        </w:tc>
        <w:tc>
          <w:tcPr>
            <w:tcW w:w="2763" w:type="dxa"/>
          </w:tcPr>
          <w:p w14:paraId="00579AC0" w14:textId="77777777" w:rsidR="00181552" w:rsidRPr="00291E5E" w:rsidRDefault="00181552" w:rsidP="00B12301">
            <w:pPr>
              <w:pStyle w:val="ARTableText"/>
            </w:pPr>
            <w:r w:rsidRPr="00291E5E">
              <w:t>4 August 2021</w:t>
            </w:r>
          </w:p>
        </w:tc>
      </w:tr>
      <w:tr w:rsidR="00181552" w:rsidRPr="00291E5E" w14:paraId="19264913" w14:textId="77777777" w:rsidTr="00576557">
        <w:tc>
          <w:tcPr>
            <w:tcW w:w="3114" w:type="dxa"/>
          </w:tcPr>
          <w:p w14:paraId="785164D8" w14:textId="77777777" w:rsidR="00181552" w:rsidRPr="00291E5E" w:rsidRDefault="00181552" w:rsidP="00B12301">
            <w:pPr>
              <w:pStyle w:val="ARTableText"/>
            </w:pPr>
            <w:r w:rsidRPr="00291E5E">
              <w:t>Brian Collopy</w:t>
            </w:r>
          </w:p>
        </w:tc>
        <w:tc>
          <w:tcPr>
            <w:tcW w:w="3139" w:type="dxa"/>
          </w:tcPr>
          <w:p w14:paraId="6596B06C" w14:textId="77777777" w:rsidR="00181552" w:rsidRPr="00291E5E" w:rsidRDefault="00181552" w:rsidP="00B12301">
            <w:pPr>
              <w:pStyle w:val="ARTableText"/>
            </w:pPr>
            <w:r w:rsidRPr="00291E5E">
              <w:t>14 December 2016</w:t>
            </w:r>
          </w:p>
        </w:tc>
        <w:tc>
          <w:tcPr>
            <w:tcW w:w="2763" w:type="dxa"/>
          </w:tcPr>
          <w:p w14:paraId="60FB061C" w14:textId="77777777" w:rsidR="00181552" w:rsidRPr="00291E5E" w:rsidRDefault="00181552" w:rsidP="00B12301">
            <w:pPr>
              <w:pStyle w:val="ARTableText"/>
            </w:pPr>
            <w:r w:rsidRPr="00291E5E">
              <w:t>31 December 2020</w:t>
            </w:r>
          </w:p>
        </w:tc>
      </w:tr>
      <w:tr w:rsidR="00181552" w:rsidRPr="00291E5E" w14:paraId="480FB90E" w14:textId="77777777" w:rsidTr="00576557">
        <w:tc>
          <w:tcPr>
            <w:tcW w:w="3114" w:type="dxa"/>
          </w:tcPr>
          <w:p w14:paraId="6CCE1CC4" w14:textId="77777777" w:rsidR="00181552" w:rsidRPr="00291E5E" w:rsidRDefault="00181552" w:rsidP="00B12301">
            <w:pPr>
              <w:pStyle w:val="ARTableText"/>
            </w:pPr>
            <w:r w:rsidRPr="00291E5E">
              <w:t>Brian Frazer</w:t>
            </w:r>
          </w:p>
        </w:tc>
        <w:tc>
          <w:tcPr>
            <w:tcW w:w="3139" w:type="dxa"/>
          </w:tcPr>
          <w:p w14:paraId="3A327441" w14:textId="77777777" w:rsidR="00181552" w:rsidRPr="00291E5E" w:rsidRDefault="00181552" w:rsidP="00B12301">
            <w:pPr>
              <w:pStyle w:val="ARTableText"/>
            </w:pPr>
            <w:r w:rsidRPr="00291E5E">
              <w:t>14 December 2016</w:t>
            </w:r>
          </w:p>
        </w:tc>
        <w:tc>
          <w:tcPr>
            <w:tcW w:w="2763" w:type="dxa"/>
          </w:tcPr>
          <w:p w14:paraId="3CA2AE91" w14:textId="77777777" w:rsidR="00181552" w:rsidRPr="00291E5E" w:rsidRDefault="00181552" w:rsidP="00B12301">
            <w:pPr>
              <w:pStyle w:val="ARTableText"/>
            </w:pPr>
            <w:r w:rsidRPr="00291E5E">
              <w:t>13 December 2020</w:t>
            </w:r>
          </w:p>
        </w:tc>
      </w:tr>
      <w:tr w:rsidR="00181552" w:rsidRPr="00291E5E" w14:paraId="39CFBB7D" w14:textId="77777777" w:rsidTr="00576557">
        <w:tc>
          <w:tcPr>
            <w:tcW w:w="3114" w:type="dxa"/>
          </w:tcPr>
          <w:p w14:paraId="1E3B39C3" w14:textId="0ABDC8FB" w:rsidR="00181552" w:rsidRPr="00291E5E" w:rsidRDefault="00181552" w:rsidP="00B12301">
            <w:pPr>
              <w:pStyle w:val="ARTableText"/>
            </w:pPr>
            <w:r w:rsidRPr="00291E5E">
              <w:t>Brydget Barker</w:t>
            </w:r>
            <w:r w:rsidR="0050078B">
              <w:noBreakHyphen/>
            </w:r>
            <w:r w:rsidRPr="00291E5E">
              <w:t>Hudson</w:t>
            </w:r>
          </w:p>
        </w:tc>
        <w:tc>
          <w:tcPr>
            <w:tcW w:w="3139" w:type="dxa"/>
          </w:tcPr>
          <w:p w14:paraId="6123A1FD" w14:textId="77777777" w:rsidR="00181552" w:rsidRPr="00291E5E" w:rsidRDefault="00181552" w:rsidP="00B12301">
            <w:pPr>
              <w:pStyle w:val="ARTableText"/>
            </w:pPr>
            <w:r w:rsidRPr="00291E5E">
              <w:t>14 December 2016</w:t>
            </w:r>
          </w:p>
        </w:tc>
        <w:tc>
          <w:tcPr>
            <w:tcW w:w="2763" w:type="dxa"/>
          </w:tcPr>
          <w:p w14:paraId="2F0A50EF" w14:textId="77777777" w:rsidR="00181552" w:rsidRPr="00291E5E" w:rsidRDefault="00181552" w:rsidP="00B12301">
            <w:pPr>
              <w:pStyle w:val="ARTableText"/>
            </w:pPr>
            <w:r w:rsidRPr="00291E5E">
              <w:t>13 December 2020</w:t>
            </w:r>
          </w:p>
        </w:tc>
      </w:tr>
      <w:tr w:rsidR="00181552" w:rsidRPr="00291E5E" w14:paraId="4A2F5A8C" w14:textId="77777777" w:rsidTr="00576557">
        <w:tc>
          <w:tcPr>
            <w:tcW w:w="3114" w:type="dxa"/>
          </w:tcPr>
          <w:p w14:paraId="71587C01" w14:textId="25F9780D" w:rsidR="00181552" w:rsidRPr="00291E5E" w:rsidRDefault="00181552" w:rsidP="00B12301">
            <w:pPr>
              <w:pStyle w:val="ARTableText"/>
            </w:pPr>
            <w:r w:rsidRPr="00291E5E">
              <w:t>Catherine O</w:t>
            </w:r>
            <w:r w:rsidR="0050078B">
              <w:t>’</w:t>
            </w:r>
            <w:r w:rsidRPr="00291E5E">
              <w:t>Sullivan</w:t>
            </w:r>
          </w:p>
        </w:tc>
        <w:tc>
          <w:tcPr>
            <w:tcW w:w="3139" w:type="dxa"/>
          </w:tcPr>
          <w:p w14:paraId="6A9A2B25" w14:textId="77777777" w:rsidR="00181552" w:rsidRPr="00291E5E" w:rsidRDefault="00181552" w:rsidP="00B12301">
            <w:pPr>
              <w:pStyle w:val="ARTableText"/>
            </w:pPr>
            <w:r w:rsidRPr="00291E5E">
              <w:t>14 December 2016</w:t>
            </w:r>
          </w:p>
        </w:tc>
        <w:tc>
          <w:tcPr>
            <w:tcW w:w="2763" w:type="dxa"/>
          </w:tcPr>
          <w:p w14:paraId="37762327" w14:textId="77777777" w:rsidR="00181552" w:rsidRPr="00291E5E" w:rsidRDefault="00181552" w:rsidP="00B12301">
            <w:pPr>
              <w:pStyle w:val="ARTableText"/>
            </w:pPr>
            <w:r w:rsidRPr="00291E5E">
              <w:t>13 December 2020</w:t>
            </w:r>
          </w:p>
        </w:tc>
      </w:tr>
      <w:tr w:rsidR="00181552" w:rsidRPr="00291E5E" w14:paraId="1646791E" w14:textId="77777777" w:rsidTr="00576557">
        <w:tc>
          <w:tcPr>
            <w:tcW w:w="3114" w:type="dxa"/>
          </w:tcPr>
          <w:p w14:paraId="15B17C5C" w14:textId="77777777" w:rsidR="00181552" w:rsidRPr="00291E5E" w:rsidRDefault="00181552" w:rsidP="00B12301">
            <w:pPr>
              <w:pStyle w:val="ARTableText"/>
            </w:pPr>
            <w:r w:rsidRPr="00291E5E">
              <w:t>Jane Abbott</w:t>
            </w:r>
          </w:p>
        </w:tc>
        <w:tc>
          <w:tcPr>
            <w:tcW w:w="3139" w:type="dxa"/>
          </w:tcPr>
          <w:p w14:paraId="54FCA48C" w14:textId="77777777" w:rsidR="00181552" w:rsidRPr="00291E5E" w:rsidRDefault="00181552" w:rsidP="00B12301">
            <w:pPr>
              <w:pStyle w:val="ARTableText"/>
            </w:pPr>
            <w:r w:rsidRPr="00291E5E">
              <w:t>1 February 2017</w:t>
            </w:r>
          </w:p>
        </w:tc>
        <w:tc>
          <w:tcPr>
            <w:tcW w:w="2763" w:type="dxa"/>
          </w:tcPr>
          <w:p w14:paraId="7B416181" w14:textId="77777777" w:rsidR="00181552" w:rsidRPr="00291E5E" w:rsidRDefault="00181552" w:rsidP="00B12301">
            <w:pPr>
              <w:pStyle w:val="ARTableText"/>
            </w:pPr>
            <w:r w:rsidRPr="00291E5E">
              <w:t>31 January 2021</w:t>
            </w:r>
          </w:p>
        </w:tc>
      </w:tr>
      <w:tr w:rsidR="00181552" w:rsidRPr="00291E5E" w14:paraId="7EB6E01A" w14:textId="77777777" w:rsidTr="00576557">
        <w:tc>
          <w:tcPr>
            <w:tcW w:w="3114" w:type="dxa"/>
          </w:tcPr>
          <w:p w14:paraId="28A13311" w14:textId="77777777" w:rsidR="00181552" w:rsidRPr="00291E5E" w:rsidRDefault="00181552" w:rsidP="00B12301">
            <w:pPr>
              <w:pStyle w:val="ARTableText"/>
            </w:pPr>
            <w:r w:rsidRPr="00291E5E">
              <w:t>Jocelyn Furlan</w:t>
            </w:r>
          </w:p>
        </w:tc>
        <w:tc>
          <w:tcPr>
            <w:tcW w:w="3139" w:type="dxa"/>
          </w:tcPr>
          <w:p w14:paraId="4B30CB5F" w14:textId="77777777" w:rsidR="00181552" w:rsidRPr="00291E5E" w:rsidRDefault="00181552" w:rsidP="00B12301">
            <w:pPr>
              <w:pStyle w:val="ARTableText"/>
            </w:pPr>
            <w:r w:rsidRPr="00291E5E">
              <w:t>20 December 2018</w:t>
            </w:r>
          </w:p>
        </w:tc>
        <w:tc>
          <w:tcPr>
            <w:tcW w:w="2763" w:type="dxa"/>
          </w:tcPr>
          <w:p w14:paraId="29F6DE32" w14:textId="77777777" w:rsidR="00181552" w:rsidRPr="00291E5E" w:rsidRDefault="00181552" w:rsidP="00B12301">
            <w:pPr>
              <w:pStyle w:val="ARTableText"/>
            </w:pPr>
            <w:r w:rsidRPr="00291E5E">
              <w:t>19 December 2021</w:t>
            </w:r>
          </w:p>
        </w:tc>
      </w:tr>
      <w:tr w:rsidR="00181552" w:rsidRPr="00291E5E" w14:paraId="2622D22D" w14:textId="77777777" w:rsidTr="00576557">
        <w:tc>
          <w:tcPr>
            <w:tcW w:w="3114" w:type="dxa"/>
          </w:tcPr>
          <w:p w14:paraId="48C051A3" w14:textId="77777777" w:rsidR="00181552" w:rsidRPr="00291E5E" w:rsidRDefault="00181552" w:rsidP="00B12301">
            <w:pPr>
              <w:pStyle w:val="ARTableText"/>
            </w:pPr>
            <w:r w:rsidRPr="00291E5E">
              <w:t>Justin Malbon</w:t>
            </w:r>
          </w:p>
        </w:tc>
        <w:tc>
          <w:tcPr>
            <w:tcW w:w="3139" w:type="dxa"/>
          </w:tcPr>
          <w:p w14:paraId="1508AE5D" w14:textId="77777777" w:rsidR="00181552" w:rsidRPr="00291E5E" w:rsidRDefault="00181552" w:rsidP="00B12301">
            <w:pPr>
              <w:pStyle w:val="ARTableText"/>
            </w:pPr>
            <w:r w:rsidRPr="00291E5E">
              <w:t>14 December 2019</w:t>
            </w:r>
          </w:p>
        </w:tc>
        <w:tc>
          <w:tcPr>
            <w:tcW w:w="2763" w:type="dxa"/>
          </w:tcPr>
          <w:p w14:paraId="0915D897" w14:textId="77777777" w:rsidR="00181552" w:rsidRPr="00291E5E" w:rsidRDefault="00181552" w:rsidP="00B12301">
            <w:pPr>
              <w:pStyle w:val="ARTableText"/>
            </w:pPr>
            <w:r w:rsidRPr="00291E5E">
              <w:t>13 December 2021</w:t>
            </w:r>
          </w:p>
        </w:tc>
      </w:tr>
      <w:tr w:rsidR="00181552" w:rsidRPr="00291E5E" w14:paraId="7514F1DF" w14:textId="77777777" w:rsidTr="00576557">
        <w:tc>
          <w:tcPr>
            <w:tcW w:w="3114" w:type="dxa"/>
          </w:tcPr>
          <w:p w14:paraId="20E5E077" w14:textId="77777777" w:rsidR="00181552" w:rsidRPr="00291E5E" w:rsidRDefault="00181552" w:rsidP="00B12301">
            <w:pPr>
              <w:pStyle w:val="ARTableText"/>
            </w:pPr>
            <w:r w:rsidRPr="00291E5E">
              <w:t>Katie Valentine</w:t>
            </w:r>
          </w:p>
        </w:tc>
        <w:tc>
          <w:tcPr>
            <w:tcW w:w="3139" w:type="dxa"/>
          </w:tcPr>
          <w:p w14:paraId="2DE10016" w14:textId="77777777" w:rsidR="00181552" w:rsidRPr="00291E5E" w:rsidRDefault="00181552" w:rsidP="00B12301">
            <w:pPr>
              <w:pStyle w:val="ARTableText"/>
            </w:pPr>
            <w:r w:rsidRPr="00291E5E">
              <w:t>14 December 2016</w:t>
            </w:r>
          </w:p>
        </w:tc>
        <w:tc>
          <w:tcPr>
            <w:tcW w:w="2763" w:type="dxa"/>
          </w:tcPr>
          <w:p w14:paraId="2BCD1114" w14:textId="77777777" w:rsidR="00181552" w:rsidRPr="00291E5E" w:rsidRDefault="00181552" w:rsidP="00B12301">
            <w:pPr>
              <w:pStyle w:val="ARTableText"/>
            </w:pPr>
            <w:r w:rsidRPr="00291E5E">
              <w:t>13 December 2020</w:t>
            </w:r>
          </w:p>
        </w:tc>
      </w:tr>
      <w:tr w:rsidR="00181552" w:rsidRPr="00291E5E" w14:paraId="0730021E" w14:textId="77777777" w:rsidTr="00576557">
        <w:tc>
          <w:tcPr>
            <w:tcW w:w="3114" w:type="dxa"/>
          </w:tcPr>
          <w:p w14:paraId="3F8FEE66" w14:textId="77777777" w:rsidR="00181552" w:rsidRPr="00291E5E" w:rsidRDefault="00181552" w:rsidP="00B12301">
            <w:pPr>
              <w:pStyle w:val="ARTableText"/>
            </w:pPr>
            <w:r w:rsidRPr="00291E5E">
              <w:t>Laurie Warfe</w:t>
            </w:r>
          </w:p>
        </w:tc>
        <w:tc>
          <w:tcPr>
            <w:tcW w:w="3139" w:type="dxa"/>
          </w:tcPr>
          <w:p w14:paraId="0FB99899" w14:textId="77777777" w:rsidR="00181552" w:rsidRPr="00291E5E" w:rsidRDefault="00181552" w:rsidP="00B12301">
            <w:pPr>
              <w:pStyle w:val="ARTableText"/>
            </w:pPr>
            <w:r w:rsidRPr="00291E5E">
              <w:t>14 December 2016</w:t>
            </w:r>
          </w:p>
        </w:tc>
        <w:tc>
          <w:tcPr>
            <w:tcW w:w="2763" w:type="dxa"/>
          </w:tcPr>
          <w:p w14:paraId="5E1FDB61" w14:textId="77777777" w:rsidR="00181552" w:rsidRPr="00291E5E" w:rsidRDefault="00181552" w:rsidP="00B12301">
            <w:pPr>
              <w:pStyle w:val="ARTableText"/>
            </w:pPr>
            <w:r w:rsidRPr="00291E5E">
              <w:t>13 December 2020</w:t>
            </w:r>
          </w:p>
        </w:tc>
      </w:tr>
      <w:tr w:rsidR="00181552" w:rsidRPr="00291E5E" w14:paraId="7FD305FD" w14:textId="77777777" w:rsidTr="00576557">
        <w:tc>
          <w:tcPr>
            <w:tcW w:w="3114" w:type="dxa"/>
          </w:tcPr>
          <w:p w14:paraId="57CDDF43" w14:textId="77777777" w:rsidR="00181552" w:rsidRPr="00291E5E" w:rsidRDefault="00181552" w:rsidP="00B12301">
            <w:pPr>
              <w:pStyle w:val="ARTableText"/>
            </w:pPr>
            <w:r w:rsidRPr="00291E5E">
              <w:t>Lynda Purcell</w:t>
            </w:r>
          </w:p>
        </w:tc>
        <w:tc>
          <w:tcPr>
            <w:tcW w:w="3139" w:type="dxa"/>
          </w:tcPr>
          <w:p w14:paraId="0FFAE72F" w14:textId="77777777" w:rsidR="00181552" w:rsidRPr="00291E5E" w:rsidRDefault="00181552" w:rsidP="00B12301">
            <w:pPr>
              <w:pStyle w:val="ARTableText"/>
            </w:pPr>
            <w:r w:rsidRPr="00291E5E">
              <w:t>14 December 2016</w:t>
            </w:r>
          </w:p>
        </w:tc>
        <w:tc>
          <w:tcPr>
            <w:tcW w:w="2763" w:type="dxa"/>
          </w:tcPr>
          <w:p w14:paraId="2783A162" w14:textId="77777777" w:rsidR="00181552" w:rsidRPr="00291E5E" w:rsidRDefault="00181552" w:rsidP="00B12301">
            <w:pPr>
              <w:pStyle w:val="ARTableText"/>
            </w:pPr>
            <w:r w:rsidRPr="00291E5E">
              <w:t>13 December 2021</w:t>
            </w:r>
          </w:p>
        </w:tc>
      </w:tr>
      <w:tr w:rsidR="00181552" w:rsidRPr="00291E5E" w14:paraId="5A0EFBE3" w14:textId="77777777" w:rsidTr="00576557">
        <w:tc>
          <w:tcPr>
            <w:tcW w:w="3114" w:type="dxa"/>
          </w:tcPr>
          <w:p w14:paraId="5D99AF7F" w14:textId="77777777" w:rsidR="00181552" w:rsidRPr="00291E5E" w:rsidRDefault="00181552" w:rsidP="00B12301">
            <w:pPr>
              <w:pStyle w:val="ARTableText"/>
            </w:pPr>
            <w:r w:rsidRPr="00291E5E">
              <w:t>Lynn Ralph</w:t>
            </w:r>
          </w:p>
        </w:tc>
        <w:tc>
          <w:tcPr>
            <w:tcW w:w="3139" w:type="dxa"/>
          </w:tcPr>
          <w:p w14:paraId="6BEE8D40" w14:textId="77777777" w:rsidR="00181552" w:rsidRPr="00291E5E" w:rsidRDefault="00181552" w:rsidP="00B12301">
            <w:pPr>
              <w:pStyle w:val="ARTableText"/>
            </w:pPr>
            <w:r w:rsidRPr="00291E5E">
              <w:t>14 December 2016</w:t>
            </w:r>
          </w:p>
        </w:tc>
        <w:tc>
          <w:tcPr>
            <w:tcW w:w="2763" w:type="dxa"/>
          </w:tcPr>
          <w:p w14:paraId="39ADC297" w14:textId="77777777" w:rsidR="00181552" w:rsidRPr="00291E5E" w:rsidRDefault="00181552" w:rsidP="00B12301">
            <w:pPr>
              <w:pStyle w:val="ARTableText"/>
            </w:pPr>
            <w:r w:rsidRPr="00291E5E">
              <w:t>13 December 2020</w:t>
            </w:r>
          </w:p>
        </w:tc>
      </w:tr>
      <w:tr w:rsidR="00181552" w:rsidRPr="00291E5E" w14:paraId="468E7571" w14:textId="77777777" w:rsidTr="00576557">
        <w:tc>
          <w:tcPr>
            <w:tcW w:w="3114" w:type="dxa"/>
          </w:tcPr>
          <w:p w14:paraId="0BE215ED" w14:textId="77777777" w:rsidR="00181552" w:rsidRPr="00291E5E" w:rsidRDefault="00181552" w:rsidP="00B12301">
            <w:pPr>
              <w:pStyle w:val="ARTableText"/>
            </w:pPr>
            <w:r w:rsidRPr="00291E5E">
              <w:t>Pamela McAlister</w:t>
            </w:r>
          </w:p>
        </w:tc>
        <w:tc>
          <w:tcPr>
            <w:tcW w:w="3139" w:type="dxa"/>
          </w:tcPr>
          <w:p w14:paraId="7B6FCC22" w14:textId="77777777" w:rsidR="00181552" w:rsidRPr="00291E5E" w:rsidRDefault="00181552" w:rsidP="00B12301">
            <w:pPr>
              <w:pStyle w:val="ARTableText"/>
            </w:pPr>
            <w:r w:rsidRPr="00291E5E">
              <w:t>20 December 2018</w:t>
            </w:r>
          </w:p>
        </w:tc>
        <w:tc>
          <w:tcPr>
            <w:tcW w:w="2763" w:type="dxa"/>
          </w:tcPr>
          <w:p w14:paraId="0AF7268C" w14:textId="77777777" w:rsidR="00181552" w:rsidRPr="00291E5E" w:rsidRDefault="00181552" w:rsidP="00B12301">
            <w:pPr>
              <w:pStyle w:val="ARTableText"/>
            </w:pPr>
            <w:r w:rsidRPr="00291E5E">
              <w:t>19 December 2021</w:t>
            </w:r>
          </w:p>
        </w:tc>
      </w:tr>
      <w:tr w:rsidR="00181552" w:rsidRPr="00291E5E" w14:paraId="72A104F5" w14:textId="77777777" w:rsidTr="00576557">
        <w:tc>
          <w:tcPr>
            <w:tcW w:w="3114" w:type="dxa"/>
          </w:tcPr>
          <w:p w14:paraId="623C4CCF" w14:textId="77777777" w:rsidR="00181552" w:rsidRPr="00291E5E" w:rsidRDefault="00181552" w:rsidP="00B12301">
            <w:pPr>
              <w:pStyle w:val="ARTableText"/>
            </w:pPr>
            <w:r w:rsidRPr="00291E5E">
              <w:t>Roderick McRae</w:t>
            </w:r>
          </w:p>
        </w:tc>
        <w:tc>
          <w:tcPr>
            <w:tcW w:w="3139" w:type="dxa"/>
          </w:tcPr>
          <w:p w14:paraId="3E5B9C75" w14:textId="77777777" w:rsidR="00181552" w:rsidRPr="00291E5E" w:rsidRDefault="00181552" w:rsidP="00B12301">
            <w:pPr>
              <w:pStyle w:val="ARTableText"/>
            </w:pPr>
            <w:r w:rsidRPr="00291E5E">
              <w:t>14 December 2016</w:t>
            </w:r>
          </w:p>
        </w:tc>
        <w:tc>
          <w:tcPr>
            <w:tcW w:w="2763" w:type="dxa"/>
          </w:tcPr>
          <w:p w14:paraId="5B8E06A0" w14:textId="77777777" w:rsidR="00181552" w:rsidRPr="00291E5E" w:rsidRDefault="00181552" w:rsidP="00B12301">
            <w:pPr>
              <w:pStyle w:val="ARTableText"/>
            </w:pPr>
            <w:r w:rsidRPr="00291E5E">
              <w:t>13 December 2020</w:t>
            </w:r>
          </w:p>
        </w:tc>
      </w:tr>
      <w:tr w:rsidR="00181552" w:rsidRPr="00291E5E" w14:paraId="459FC4E4" w14:textId="77777777" w:rsidTr="00576557">
        <w:tc>
          <w:tcPr>
            <w:tcW w:w="3114" w:type="dxa"/>
          </w:tcPr>
          <w:p w14:paraId="26482D3B" w14:textId="77777777" w:rsidR="00181552" w:rsidRPr="00291E5E" w:rsidRDefault="00181552" w:rsidP="00B12301">
            <w:pPr>
              <w:pStyle w:val="ARTableText"/>
            </w:pPr>
            <w:r w:rsidRPr="00291E5E">
              <w:t>Stephen Duffield</w:t>
            </w:r>
          </w:p>
        </w:tc>
        <w:tc>
          <w:tcPr>
            <w:tcW w:w="3139" w:type="dxa"/>
          </w:tcPr>
          <w:p w14:paraId="39FBFE96" w14:textId="77777777" w:rsidR="00181552" w:rsidRPr="00291E5E" w:rsidRDefault="00181552" w:rsidP="00B12301">
            <w:pPr>
              <w:pStyle w:val="ARTableText"/>
            </w:pPr>
            <w:r w:rsidRPr="00291E5E">
              <w:t>5 August 2019</w:t>
            </w:r>
          </w:p>
        </w:tc>
        <w:tc>
          <w:tcPr>
            <w:tcW w:w="2763" w:type="dxa"/>
          </w:tcPr>
          <w:p w14:paraId="13628548" w14:textId="77777777" w:rsidR="00181552" w:rsidRPr="00291E5E" w:rsidRDefault="00181552" w:rsidP="00B12301">
            <w:pPr>
              <w:pStyle w:val="ARTableText"/>
            </w:pPr>
            <w:r w:rsidRPr="00291E5E">
              <w:t>4 August 2021</w:t>
            </w:r>
          </w:p>
        </w:tc>
      </w:tr>
    </w:tbl>
    <w:p w14:paraId="33AFA618" w14:textId="77777777" w:rsidR="00291E5E" w:rsidRPr="00291E5E" w:rsidRDefault="00291E5E" w:rsidP="00B12301"/>
    <w:p w14:paraId="7483A5CE" w14:textId="77777777" w:rsidR="00291E5E" w:rsidRPr="00291E5E" w:rsidRDefault="00291E5E" w:rsidP="00B12301">
      <w:r w:rsidRPr="00291E5E">
        <w:br w:type="page"/>
      </w:r>
    </w:p>
    <w:p w14:paraId="797CCDCA" w14:textId="532A4B9F" w:rsidR="00291E5E" w:rsidRPr="00291E5E" w:rsidRDefault="00291E5E" w:rsidP="00D579F2">
      <w:pPr>
        <w:pStyle w:val="ARH1-Mainsectionheading"/>
      </w:pPr>
      <w:bookmarkStart w:id="27" w:name="_Toc82442777"/>
      <w:r w:rsidRPr="00291E5E">
        <w:lastRenderedPageBreak/>
        <w:t>Corporate Governance</w:t>
      </w:r>
      <w:bookmarkEnd w:id="27"/>
    </w:p>
    <w:p w14:paraId="43EFA542" w14:textId="1DC76285" w:rsidR="00291E5E" w:rsidRPr="00291E5E" w:rsidRDefault="00291E5E" w:rsidP="00D579F2">
      <w:pPr>
        <w:pStyle w:val="ARH2-Bodycopyheadinglevel1"/>
      </w:pPr>
      <w:r w:rsidRPr="00291E5E">
        <w:t>The Executive</w:t>
      </w:r>
    </w:p>
    <w:p w14:paraId="5BA3BDF3" w14:textId="270B47F4" w:rsidR="00291E5E" w:rsidRPr="00291E5E" w:rsidRDefault="00291E5E" w:rsidP="00B12301">
      <w:r w:rsidRPr="00291E5E">
        <w:t>The Chairperson was the Executive Officer of the Tribunal. They were responsible for the overall operation and administration of the Tribunal</w:t>
      </w:r>
      <w:r w:rsidR="0050078B">
        <w:t>’</w:t>
      </w:r>
      <w:r w:rsidRPr="00291E5E">
        <w:t>s powers and functions in accordance with its statutory objectives under ss 7A and 59(1) of the SRC Act.</w:t>
      </w:r>
    </w:p>
    <w:p w14:paraId="33BAFF7A" w14:textId="77777777" w:rsidR="00291E5E" w:rsidRPr="00291E5E" w:rsidRDefault="00291E5E" w:rsidP="00B12301">
      <w:r w:rsidRPr="00291E5E">
        <w:t>The Chairperson was responsible for the constitution and reconstitution of the Tribunal at review; the selection of Tribunal Members for review panels; and for the establishment of procedural rules for the conduct of review meetings under s 9.</w:t>
      </w:r>
    </w:p>
    <w:p w14:paraId="27E7A9E3" w14:textId="08B3DDB8" w:rsidR="00291E5E" w:rsidRPr="00B12301" w:rsidRDefault="00291E5E" w:rsidP="00B12301">
      <w:r w:rsidRPr="00B12301">
        <w:t>The Chairperson was also a repository of a range of specific powers and responsibilities such as formulating written guidelines for the allocation of work among Tribunal Members – ss</w:t>
      </w:r>
      <w:r w:rsidR="00576557">
        <w:t> </w:t>
      </w:r>
      <w:r w:rsidRPr="00B12301">
        <w:t>7A(2)(b), (3); and formulating guidelines setting out the way in which the Tribunal is to be constituted for the purposes of dealing with different classes of complaints – s 9(2A).</w:t>
      </w:r>
    </w:p>
    <w:p w14:paraId="61D60EDD" w14:textId="5BC9740A" w:rsidR="00291E5E" w:rsidRPr="00291E5E" w:rsidRDefault="00291E5E" w:rsidP="00D579F2">
      <w:pPr>
        <w:pStyle w:val="ARH2-Bodycopyheadinglevel1"/>
      </w:pPr>
      <w:r w:rsidRPr="00291E5E">
        <w:t>Internal scrutiny</w:t>
      </w:r>
    </w:p>
    <w:p w14:paraId="6C0513AB" w14:textId="77777777" w:rsidR="00291E5E" w:rsidRPr="00291E5E" w:rsidRDefault="00291E5E" w:rsidP="00B12301">
      <w:r w:rsidRPr="00291E5E">
        <w:t>The Tribunal operated according to a team model. Scrutiny of Tribunal processes was routinely carried out at all levels by team members in line with their seniority and experience. More complex issues were dealt with by the senior management team.</w:t>
      </w:r>
    </w:p>
    <w:p w14:paraId="6B74DFE8" w14:textId="02E5D93E" w:rsidR="00291E5E" w:rsidRPr="00291E5E" w:rsidRDefault="00291E5E" w:rsidP="00D579F2">
      <w:pPr>
        <w:pStyle w:val="ARH2-Bodycopyheadinglevel1"/>
      </w:pPr>
      <w:r w:rsidRPr="00291E5E">
        <w:t>Fraud prevention, detection and control</w:t>
      </w:r>
    </w:p>
    <w:p w14:paraId="7DBEB13A" w14:textId="77777777" w:rsidR="00291E5E" w:rsidRPr="00291E5E" w:rsidRDefault="00291E5E" w:rsidP="00B12301">
      <w:r w:rsidRPr="00291E5E">
        <w:t xml:space="preserve">ASIC, on behalf of the Tribunal, operated in accordance with the Commonwealth Fraud Control Framework. This Framework ensured the following measures were in place for the Tribunal: </w:t>
      </w:r>
    </w:p>
    <w:p w14:paraId="17A1F848" w14:textId="77777777" w:rsidR="00291E5E" w:rsidRPr="00B12301" w:rsidRDefault="00291E5E" w:rsidP="00B12301">
      <w:pPr>
        <w:pStyle w:val="ARBulletListL1"/>
      </w:pPr>
      <w:r w:rsidRPr="00B12301">
        <w:t>fraud risk assessments</w:t>
      </w:r>
    </w:p>
    <w:p w14:paraId="3BBE9F86" w14:textId="77777777" w:rsidR="00291E5E" w:rsidRPr="00291E5E" w:rsidRDefault="00291E5E" w:rsidP="00B12301">
      <w:pPr>
        <w:pStyle w:val="ARBulletListL1"/>
      </w:pPr>
      <w:r w:rsidRPr="00291E5E">
        <w:t>fraud control plans</w:t>
      </w:r>
    </w:p>
    <w:p w14:paraId="1AFAA874" w14:textId="77777777" w:rsidR="00291E5E" w:rsidRPr="00291E5E" w:rsidRDefault="00291E5E" w:rsidP="00B12301">
      <w:pPr>
        <w:pStyle w:val="ARBulletListL1"/>
      </w:pPr>
      <w:r w:rsidRPr="00291E5E">
        <w:t>mechanisms for preventing, detecting, investigating, dealing with and recording fraud.</w:t>
      </w:r>
    </w:p>
    <w:p w14:paraId="1D1D3CA4" w14:textId="77777777" w:rsidR="00291E5E" w:rsidRPr="00291E5E" w:rsidRDefault="00291E5E" w:rsidP="00B12301">
      <w:r w:rsidRPr="00291E5E">
        <w:br w:type="page"/>
      </w:r>
    </w:p>
    <w:p w14:paraId="05AC1289" w14:textId="5D114B8A" w:rsidR="00291E5E" w:rsidRPr="00291E5E" w:rsidRDefault="00291E5E" w:rsidP="00D579F2">
      <w:pPr>
        <w:pStyle w:val="ARH1-Mainsectionheading"/>
      </w:pPr>
      <w:bookmarkStart w:id="28" w:name="_Toc82442778"/>
      <w:r w:rsidRPr="00291E5E">
        <w:lastRenderedPageBreak/>
        <w:t>External scrutiny</w:t>
      </w:r>
      <w:bookmarkEnd w:id="28"/>
    </w:p>
    <w:p w14:paraId="354FB2AA" w14:textId="77777777" w:rsidR="00291E5E" w:rsidRPr="00291E5E" w:rsidRDefault="00291E5E" w:rsidP="00B12301">
      <w:r w:rsidRPr="00291E5E">
        <w:t>The Tribunal was scrutinised by external entities including the Parliament, various parliamentary committees, the courts and certain Commonwealth departments and statutory bodies. Significant developments during the period are listed in the table below.</w:t>
      </w:r>
    </w:p>
    <w:p w14:paraId="26E05975" w14:textId="77777777" w:rsidR="00291E5E" w:rsidRPr="00291E5E" w:rsidRDefault="00291E5E" w:rsidP="00B12301">
      <w:pPr>
        <w:pStyle w:val="ARTableFigureTitle"/>
      </w:pPr>
      <w:r w:rsidRPr="00291E5E">
        <w:t xml:space="preserve">Table </w:t>
      </w:r>
      <w:bookmarkStart w:id="29" w:name="_Hlk518911833"/>
      <w:r w:rsidRPr="00291E5E">
        <w:t>6.8 External scrutiny developments and response for 2020–21</w:t>
      </w:r>
    </w:p>
    <w:tbl>
      <w:tblPr>
        <w:tblStyle w:val="TableGrid"/>
        <w:tblW w:w="5000" w:type="pct"/>
        <w:tblLook w:val="04A0" w:firstRow="1" w:lastRow="0" w:firstColumn="1" w:lastColumn="0" w:noHBand="0" w:noVBand="1"/>
      </w:tblPr>
      <w:tblGrid>
        <w:gridCol w:w="2830"/>
        <w:gridCol w:w="3194"/>
        <w:gridCol w:w="2992"/>
      </w:tblGrid>
      <w:tr w:rsidR="00291E5E" w:rsidRPr="00291E5E" w14:paraId="22815519" w14:textId="77777777" w:rsidTr="00576557">
        <w:tc>
          <w:tcPr>
            <w:tcW w:w="2830" w:type="dxa"/>
            <w:shd w:val="clear" w:color="auto" w:fill="0072CE"/>
          </w:tcPr>
          <w:p w14:paraId="07D49B8C" w14:textId="77777777" w:rsidR="00291E5E" w:rsidRPr="00291E5E" w:rsidRDefault="00291E5E" w:rsidP="00B12301">
            <w:pPr>
              <w:pStyle w:val="ARTableHeader"/>
            </w:pPr>
            <w:r w:rsidRPr="00291E5E">
              <w:t>External entity</w:t>
            </w:r>
          </w:p>
        </w:tc>
        <w:tc>
          <w:tcPr>
            <w:tcW w:w="3194" w:type="dxa"/>
            <w:shd w:val="clear" w:color="auto" w:fill="0072CE"/>
          </w:tcPr>
          <w:p w14:paraId="02600CA0" w14:textId="77777777" w:rsidR="00291E5E" w:rsidRPr="00291E5E" w:rsidRDefault="00291E5E" w:rsidP="00B12301">
            <w:pPr>
              <w:pStyle w:val="ARTableHeader"/>
            </w:pPr>
            <w:r w:rsidRPr="00291E5E">
              <w:t>Development(s)</w:t>
            </w:r>
          </w:p>
        </w:tc>
        <w:tc>
          <w:tcPr>
            <w:tcW w:w="2992" w:type="dxa"/>
            <w:shd w:val="clear" w:color="auto" w:fill="0072CE"/>
          </w:tcPr>
          <w:p w14:paraId="39D10388" w14:textId="43BE9C41" w:rsidR="00291E5E" w:rsidRPr="00291E5E" w:rsidRDefault="00291E5E" w:rsidP="00B12301">
            <w:pPr>
              <w:pStyle w:val="ARTableHeader"/>
            </w:pPr>
            <w:r w:rsidRPr="00291E5E">
              <w:t>Tribunal</w:t>
            </w:r>
            <w:r w:rsidR="0050078B">
              <w:t>’</w:t>
            </w:r>
            <w:r w:rsidRPr="00291E5E">
              <w:t>s response</w:t>
            </w:r>
          </w:p>
        </w:tc>
      </w:tr>
      <w:tr w:rsidR="00291E5E" w:rsidRPr="00291E5E" w14:paraId="13C3F368" w14:textId="77777777" w:rsidTr="00576557">
        <w:tc>
          <w:tcPr>
            <w:tcW w:w="2830" w:type="dxa"/>
          </w:tcPr>
          <w:p w14:paraId="56AA5EA5" w14:textId="77777777" w:rsidR="00291E5E" w:rsidRPr="00291E5E" w:rsidRDefault="00291E5E" w:rsidP="00B12301">
            <w:pPr>
              <w:pStyle w:val="ARTableText"/>
            </w:pPr>
            <w:r w:rsidRPr="00291E5E">
              <w:t>Parliament</w:t>
            </w:r>
          </w:p>
        </w:tc>
        <w:tc>
          <w:tcPr>
            <w:tcW w:w="3194" w:type="dxa"/>
          </w:tcPr>
          <w:p w14:paraId="60FDD37B" w14:textId="1C7FF492" w:rsidR="00291E5E" w:rsidRPr="00291E5E" w:rsidRDefault="00291E5E" w:rsidP="00B12301">
            <w:pPr>
              <w:pStyle w:val="ARTableText"/>
            </w:pPr>
            <w:r w:rsidRPr="00291E5E">
              <w:t>The Parliament scrutinises the operation of the Tribunal by way of the legislative process, the tabling of regulations and the tabling of the Tribunal</w:t>
            </w:r>
            <w:r w:rsidR="0050078B">
              <w:t>’</w:t>
            </w:r>
            <w:r w:rsidRPr="00291E5E">
              <w:t>s annual report.</w:t>
            </w:r>
          </w:p>
        </w:tc>
        <w:tc>
          <w:tcPr>
            <w:tcW w:w="2992" w:type="dxa"/>
          </w:tcPr>
          <w:p w14:paraId="04A6F2F9" w14:textId="77777777" w:rsidR="00291E5E" w:rsidRPr="00291E5E" w:rsidRDefault="00291E5E" w:rsidP="00B12301">
            <w:pPr>
              <w:pStyle w:val="ARTableText"/>
              <w:rPr>
                <w:highlight w:val="cyan"/>
              </w:rPr>
            </w:pPr>
            <w:r w:rsidRPr="00291E5E">
              <w:t>The Tribunal provided its biannual indexed lists of files to be tabled before the Senate in accordance with Senate Standing Order No 12.</w:t>
            </w:r>
          </w:p>
        </w:tc>
      </w:tr>
      <w:tr w:rsidR="00291E5E" w:rsidRPr="00291E5E" w14:paraId="194221C2" w14:textId="77777777" w:rsidTr="00576557">
        <w:tc>
          <w:tcPr>
            <w:tcW w:w="2830" w:type="dxa"/>
          </w:tcPr>
          <w:p w14:paraId="5F5D920E" w14:textId="77777777" w:rsidR="00291E5E" w:rsidRPr="00291E5E" w:rsidRDefault="00291E5E" w:rsidP="00B12301">
            <w:pPr>
              <w:pStyle w:val="ARTableText"/>
            </w:pPr>
            <w:r w:rsidRPr="00291E5E">
              <w:t>Courts</w:t>
            </w:r>
          </w:p>
        </w:tc>
        <w:tc>
          <w:tcPr>
            <w:tcW w:w="3194" w:type="dxa"/>
          </w:tcPr>
          <w:p w14:paraId="23B9028C" w14:textId="77777777" w:rsidR="00291E5E" w:rsidRPr="00291E5E" w:rsidRDefault="00291E5E" w:rsidP="00B12301">
            <w:pPr>
              <w:pStyle w:val="ARTableText"/>
            </w:pPr>
            <w:r w:rsidRPr="00291E5E">
              <w:t xml:space="preserve">The jurisdiction, powers and operations of the Tribunal are open to judicial scrutiny via statutory appeal and judicial review. Specifically, the Tribunal is subject to judicial scrutiny by the Federal Court of Australia pursuant to s 46 of the SRC Act, under the </w:t>
            </w:r>
            <w:r w:rsidRPr="00291E5E">
              <w:rPr>
                <w:i/>
                <w:iCs/>
              </w:rPr>
              <w:t xml:space="preserve">Administrative Decisions (Judicial Review) Act 1977 </w:t>
            </w:r>
            <w:r w:rsidRPr="00291E5E">
              <w:t xml:space="preserve">and under s 39B of the </w:t>
            </w:r>
            <w:r w:rsidRPr="00291E5E">
              <w:rPr>
                <w:i/>
                <w:iCs/>
              </w:rPr>
              <w:t>Judiciary Act 1903</w:t>
            </w:r>
            <w:r w:rsidRPr="00291E5E">
              <w:t>. Also, under s 39 of the SRC Act, the Tribunal may refer a question of law arising in relation to a complaint to the Federal Court to consider.</w:t>
            </w:r>
          </w:p>
        </w:tc>
        <w:tc>
          <w:tcPr>
            <w:tcW w:w="2992" w:type="dxa"/>
          </w:tcPr>
          <w:p w14:paraId="0BA37813" w14:textId="3A5C642E" w:rsidR="00291E5E" w:rsidRPr="00291E5E" w:rsidRDefault="00291E5E" w:rsidP="00B12301">
            <w:pPr>
              <w:pStyle w:val="ARTableText"/>
            </w:pPr>
            <w:r w:rsidRPr="00291E5E">
              <w:t>This reporting period five (5) appeals from Tribunal determinations were filed with the Federal Court pursuant to s</w:t>
            </w:r>
            <w:r w:rsidR="00576557">
              <w:t> </w:t>
            </w:r>
            <w:r w:rsidRPr="00291E5E">
              <w:t>46 of the SRC Act. All court matters involving the Tribunal over the reporting year are listed in Appendix 9.</w:t>
            </w:r>
          </w:p>
        </w:tc>
      </w:tr>
      <w:tr w:rsidR="00291E5E" w:rsidRPr="00291E5E" w14:paraId="4899970D" w14:textId="77777777" w:rsidTr="00576557">
        <w:tc>
          <w:tcPr>
            <w:tcW w:w="2830" w:type="dxa"/>
          </w:tcPr>
          <w:p w14:paraId="1915D370" w14:textId="77777777" w:rsidR="00291E5E" w:rsidRPr="00291E5E" w:rsidRDefault="00291E5E" w:rsidP="00B12301">
            <w:pPr>
              <w:pStyle w:val="ARTableText"/>
            </w:pPr>
            <w:r w:rsidRPr="00291E5E">
              <w:t xml:space="preserve">Commonwealth Ombudsman </w:t>
            </w:r>
          </w:p>
        </w:tc>
        <w:tc>
          <w:tcPr>
            <w:tcW w:w="3194" w:type="dxa"/>
          </w:tcPr>
          <w:p w14:paraId="755D3FDC" w14:textId="77777777" w:rsidR="00291E5E" w:rsidRPr="00291E5E" w:rsidRDefault="00291E5E" w:rsidP="00B12301">
            <w:pPr>
              <w:pStyle w:val="ARTableText"/>
            </w:pPr>
            <w:r w:rsidRPr="00291E5E">
              <w:t xml:space="preserve">One formal enquiry was made by the Commonwealth Ombudsman under the </w:t>
            </w:r>
            <w:r w:rsidRPr="00291E5E">
              <w:rPr>
                <w:i/>
                <w:iCs/>
              </w:rPr>
              <w:t xml:space="preserve">Ombudsman Act 1976 </w:t>
            </w:r>
            <w:r w:rsidRPr="00291E5E">
              <w:t>this reporting year.</w:t>
            </w:r>
          </w:p>
        </w:tc>
        <w:tc>
          <w:tcPr>
            <w:tcW w:w="2992" w:type="dxa"/>
          </w:tcPr>
          <w:p w14:paraId="1567C267" w14:textId="77777777" w:rsidR="00291E5E" w:rsidRPr="00291E5E" w:rsidRDefault="00291E5E" w:rsidP="00B12301">
            <w:pPr>
              <w:pStyle w:val="ARTableText"/>
              <w:rPr>
                <w:highlight w:val="magenta"/>
              </w:rPr>
            </w:pPr>
            <w:r w:rsidRPr="00291E5E">
              <w:t>This matter required no further action and no matters remain pending at 31 December 2020.</w:t>
            </w:r>
          </w:p>
        </w:tc>
      </w:tr>
      <w:tr w:rsidR="00291E5E" w:rsidRPr="00291E5E" w14:paraId="35FBE9E0" w14:textId="77777777" w:rsidTr="00576557">
        <w:tc>
          <w:tcPr>
            <w:tcW w:w="2830" w:type="dxa"/>
          </w:tcPr>
          <w:p w14:paraId="474498F3" w14:textId="36A9CC12" w:rsidR="00291E5E" w:rsidRPr="00291E5E" w:rsidRDefault="00291E5E" w:rsidP="00B12301">
            <w:pPr>
              <w:pStyle w:val="ARTableText"/>
            </w:pPr>
            <w:r w:rsidRPr="00291E5E">
              <w:t>Auditor</w:t>
            </w:r>
            <w:r w:rsidR="0050078B">
              <w:noBreakHyphen/>
            </w:r>
            <w:r w:rsidRPr="00291E5E">
              <w:t>General or Parliamentary Committees</w:t>
            </w:r>
          </w:p>
        </w:tc>
        <w:tc>
          <w:tcPr>
            <w:tcW w:w="3194" w:type="dxa"/>
          </w:tcPr>
          <w:p w14:paraId="2DAC8A34" w14:textId="7F3426BE" w:rsidR="00291E5E" w:rsidRPr="00291E5E" w:rsidRDefault="00291E5E" w:rsidP="00B12301">
            <w:pPr>
              <w:pStyle w:val="ARTableText"/>
            </w:pPr>
            <w:r w:rsidRPr="00291E5E">
              <w:t>The Tribunal</w:t>
            </w:r>
            <w:r w:rsidR="0050078B">
              <w:t>’</w:t>
            </w:r>
            <w:r w:rsidRPr="00291E5E">
              <w:t>s operations were not the subject of any report by the Auditor</w:t>
            </w:r>
            <w:r w:rsidR="0050078B">
              <w:noBreakHyphen/>
            </w:r>
            <w:r w:rsidRPr="00291E5E">
              <w:t>General or any parliamentary committee during the reporting period.</w:t>
            </w:r>
          </w:p>
        </w:tc>
        <w:tc>
          <w:tcPr>
            <w:tcW w:w="2992" w:type="dxa"/>
          </w:tcPr>
          <w:p w14:paraId="4F3EC442" w14:textId="77777777" w:rsidR="00291E5E" w:rsidRPr="00291E5E" w:rsidRDefault="00291E5E" w:rsidP="00B12301">
            <w:pPr>
              <w:pStyle w:val="ARTableText"/>
            </w:pPr>
            <w:r w:rsidRPr="00291E5E">
              <w:t>Not applicable.</w:t>
            </w:r>
          </w:p>
        </w:tc>
      </w:tr>
      <w:tr w:rsidR="00291E5E" w:rsidRPr="00291E5E" w14:paraId="0D56A437" w14:textId="77777777" w:rsidTr="00576557">
        <w:tc>
          <w:tcPr>
            <w:tcW w:w="2830" w:type="dxa"/>
          </w:tcPr>
          <w:p w14:paraId="1C47FE4F" w14:textId="77777777" w:rsidR="00291E5E" w:rsidRPr="00291E5E" w:rsidRDefault="00291E5E" w:rsidP="00B12301">
            <w:pPr>
              <w:pStyle w:val="ARTableText"/>
            </w:pPr>
            <w:r w:rsidRPr="00291E5E">
              <w:t>Information Commissioner</w:t>
            </w:r>
          </w:p>
        </w:tc>
        <w:tc>
          <w:tcPr>
            <w:tcW w:w="3194" w:type="dxa"/>
          </w:tcPr>
          <w:p w14:paraId="10F3DE90" w14:textId="77777777" w:rsidR="00291E5E" w:rsidRPr="00291E5E" w:rsidRDefault="00291E5E" w:rsidP="00B12301">
            <w:pPr>
              <w:pStyle w:val="ARTableText"/>
            </w:pPr>
            <w:r w:rsidRPr="00291E5E">
              <w:t xml:space="preserve">One  report was made by the Office of the Australian Information Commissioner (OAIC) under the </w:t>
            </w:r>
            <w:r w:rsidRPr="00291E5E">
              <w:rPr>
                <w:i/>
                <w:iCs/>
              </w:rPr>
              <w:t xml:space="preserve">Privacy Act 1988. </w:t>
            </w:r>
            <w:r w:rsidRPr="00291E5E">
              <w:t xml:space="preserve">There were no reports made under the </w:t>
            </w:r>
            <w:r w:rsidRPr="00291E5E">
              <w:rPr>
                <w:i/>
                <w:iCs/>
              </w:rPr>
              <w:t xml:space="preserve">Freedom of Information Act 1982 </w:t>
            </w:r>
            <w:r w:rsidRPr="00291E5E">
              <w:t>in respect of the Tribunal during this reporting period.</w:t>
            </w:r>
          </w:p>
        </w:tc>
        <w:tc>
          <w:tcPr>
            <w:tcW w:w="2992" w:type="dxa"/>
          </w:tcPr>
          <w:p w14:paraId="76AE0730" w14:textId="77777777" w:rsidR="00291E5E" w:rsidRPr="00291E5E" w:rsidRDefault="00291E5E" w:rsidP="00B12301">
            <w:pPr>
              <w:pStyle w:val="ARTableText"/>
            </w:pPr>
            <w:r w:rsidRPr="00291E5E">
              <w:t>The OAIC matter was resolved through conciliation.</w:t>
            </w:r>
          </w:p>
        </w:tc>
      </w:tr>
    </w:tbl>
    <w:bookmarkEnd w:id="29"/>
    <w:p w14:paraId="42835298" w14:textId="55B050AD" w:rsidR="00291E5E" w:rsidRPr="00291E5E" w:rsidRDefault="00291E5E" w:rsidP="00D579F2">
      <w:pPr>
        <w:pStyle w:val="ARH2-Bodycopyheadinglevel1"/>
      </w:pPr>
      <w:r w:rsidRPr="00291E5E">
        <w:lastRenderedPageBreak/>
        <w:t>Consultants</w:t>
      </w:r>
    </w:p>
    <w:p w14:paraId="43045A80" w14:textId="77777777" w:rsidR="00291E5E" w:rsidRPr="00291E5E" w:rsidRDefault="00291E5E" w:rsidP="00B12301">
      <w:r w:rsidRPr="00291E5E">
        <w:t>Annual reports contain information about actual expenditure on contracts for consultancies. Information on the value of contracts and consultancies is available on the AusTender website.</w:t>
      </w:r>
    </w:p>
    <w:p w14:paraId="1910ACB4" w14:textId="0B288D20" w:rsidR="00291E5E" w:rsidRPr="00291E5E" w:rsidRDefault="00291E5E" w:rsidP="00D579F2">
      <w:pPr>
        <w:pStyle w:val="ARH2-Bodycopyheadinglevel1"/>
      </w:pPr>
      <w:r w:rsidRPr="00291E5E">
        <w:t>Summary</w:t>
      </w:r>
    </w:p>
    <w:p w14:paraId="2FBE44D1" w14:textId="77777777" w:rsidR="00291E5E" w:rsidRPr="00291E5E" w:rsidRDefault="00291E5E" w:rsidP="00B12301">
      <w:r w:rsidRPr="00291E5E">
        <w:t>During 2020–21, no new consultancy contracts were entered into and no ongoing consultancy contracts were active.</w:t>
      </w:r>
    </w:p>
    <w:p w14:paraId="3688D266" w14:textId="6BCDB206" w:rsidR="00291E5E" w:rsidRPr="00291E5E" w:rsidRDefault="00291E5E" w:rsidP="00D579F2">
      <w:pPr>
        <w:pStyle w:val="ARH2-Bodycopyheadinglevel1"/>
      </w:pPr>
      <w:r w:rsidRPr="00291E5E">
        <w:t>Policies, procedures and categories</w:t>
      </w:r>
    </w:p>
    <w:p w14:paraId="39FC5392" w14:textId="547192B2" w:rsidR="00291E5E" w:rsidRPr="00291E5E" w:rsidRDefault="00291E5E" w:rsidP="00B12301">
      <w:r w:rsidRPr="00291E5E">
        <w:t>ASIC</w:t>
      </w:r>
      <w:r w:rsidR="0050078B">
        <w:t>’</w:t>
      </w:r>
      <w:r w:rsidRPr="00291E5E">
        <w:t xml:space="preserve">s use of Commonwealth resources and expenditure of public money is primarily governed by the PGPA Act and the </w:t>
      </w:r>
      <w:r w:rsidRPr="00291E5E">
        <w:rPr>
          <w:i/>
          <w:iCs/>
        </w:rPr>
        <w:t xml:space="preserve">Public Governance, Performance and Accountability Rule 2014 </w:t>
      </w:r>
      <w:r w:rsidRPr="00291E5E">
        <w:t>(PGPA Rule).</w:t>
      </w:r>
    </w:p>
    <w:p w14:paraId="201ECA94" w14:textId="77777777" w:rsidR="00291E5E" w:rsidRPr="00291E5E" w:rsidRDefault="00291E5E" w:rsidP="00B12301">
      <w:r w:rsidRPr="00291E5E">
        <w:t xml:space="preserve">Responsibility for compliance with the Commonwealth Procurement Rules (CPRs) lies with the appropriate financial delegates. The delegates are supported by a central procurement team of qualified procurement officers who: </w:t>
      </w:r>
    </w:p>
    <w:p w14:paraId="584E4EA1" w14:textId="6D71B2B6" w:rsidR="00291E5E" w:rsidRPr="00291E5E" w:rsidRDefault="00291E5E" w:rsidP="00B12301">
      <w:pPr>
        <w:pStyle w:val="ARBulletListL1"/>
      </w:pPr>
      <w:r w:rsidRPr="00291E5E">
        <w:t>develop and maintain ASIC</w:t>
      </w:r>
      <w:r w:rsidR="0050078B">
        <w:t>’</w:t>
      </w:r>
      <w:r w:rsidRPr="00291E5E">
        <w:t xml:space="preserve">s procurement processes and systems which are designed to promote compliance with the PGPA Act, PGPA Rule and the CPRs for all levels of procurement </w:t>
      </w:r>
    </w:p>
    <w:p w14:paraId="4F2B5F8A" w14:textId="4229A5CA" w:rsidR="00291E5E" w:rsidRPr="00291E5E" w:rsidRDefault="00291E5E" w:rsidP="00B12301">
      <w:pPr>
        <w:pStyle w:val="ARBulletListL1"/>
      </w:pPr>
      <w:r w:rsidRPr="00291E5E">
        <w:t>manage complex and/or high</w:t>
      </w:r>
      <w:r w:rsidR="0050078B">
        <w:noBreakHyphen/>
      </w:r>
      <w:r w:rsidRPr="00291E5E">
        <w:t>risk procurement activities, including procurements that are subject to the mandatory procurement procedures of the CPRs.</w:t>
      </w:r>
    </w:p>
    <w:p w14:paraId="4DFCFDEF" w14:textId="184995BF" w:rsidR="00291E5E" w:rsidRPr="00291E5E" w:rsidRDefault="00291E5E" w:rsidP="00B12301">
      <w:r w:rsidRPr="00291E5E">
        <w:t>ASIC</w:t>
      </w:r>
      <w:r w:rsidR="0050078B">
        <w:t>’</w:t>
      </w:r>
      <w:r w:rsidRPr="00291E5E">
        <w:t xml:space="preserve">s procurement framework aims to facilitate compliance with the core principles and policies of the CPRs including </w:t>
      </w:r>
      <w:r w:rsidR="0050078B">
        <w:t>‘</w:t>
      </w:r>
      <w:r w:rsidRPr="00291E5E">
        <w:t>value for money</w:t>
      </w:r>
      <w:r w:rsidR="0050078B">
        <w:t>’</w:t>
      </w:r>
      <w:r w:rsidRPr="00291E5E">
        <w:t xml:space="preserve">, </w:t>
      </w:r>
      <w:r w:rsidR="0050078B">
        <w:t>‘</w:t>
      </w:r>
      <w:r w:rsidRPr="00291E5E">
        <w:t>encouraging competition</w:t>
      </w:r>
      <w:r w:rsidR="0050078B">
        <w:t>’</w:t>
      </w:r>
      <w:r w:rsidRPr="00291E5E">
        <w:t xml:space="preserve">, </w:t>
      </w:r>
      <w:r w:rsidR="0050078B">
        <w:t>‘</w:t>
      </w:r>
      <w:r w:rsidRPr="00291E5E">
        <w:t>efficient, effective, ethical and economical use of resources</w:t>
      </w:r>
      <w:r w:rsidR="0050078B">
        <w:t>’</w:t>
      </w:r>
      <w:r w:rsidRPr="00291E5E">
        <w:t xml:space="preserve"> and </w:t>
      </w:r>
      <w:r w:rsidR="0050078B">
        <w:t>‘</w:t>
      </w:r>
      <w:r w:rsidRPr="00291E5E">
        <w:t>accountability and transparency</w:t>
      </w:r>
      <w:r w:rsidR="0050078B">
        <w:t>’</w:t>
      </w:r>
      <w:r w:rsidRPr="00291E5E">
        <w:t>.</w:t>
      </w:r>
    </w:p>
    <w:p w14:paraId="7B870666" w14:textId="203361E8" w:rsidR="00291E5E" w:rsidRPr="00291E5E" w:rsidRDefault="00291E5E" w:rsidP="00D579F2">
      <w:pPr>
        <w:pStyle w:val="ARH2-Bodycopyheadinglevel1"/>
      </w:pPr>
      <w:r w:rsidRPr="00291E5E">
        <w:t>Supporting small businesses through procurement</w:t>
      </w:r>
    </w:p>
    <w:p w14:paraId="060D7743" w14:textId="2CCD23D1" w:rsidR="00291E5E" w:rsidRPr="00291E5E" w:rsidRDefault="00291E5E" w:rsidP="00B12301">
      <w:r w:rsidRPr="00291E5E">
        <w:t>The Tribunal supports small business participation in the Commonwealth Government procurement market. Small and Medium Enterprises (SME) and Small Enterprise participation statistics are available on the Department of Finance</w:t>
      </w:r>
      <w:r w:rsidR="0050078B">
        <w:t>’</w:t>
      </w:r>
      <w:r w:rsidRPr="00291E5E">
        <w:t>s website.</w:t>
      </w:r>
    </w:p>
    <w:p w14:paraId="4DA4F0B9" w14:textId="460384ED" w:rsidR="00291E5E" w:rsidRPr="00291E5E" w:rsidRDefault="00291E5E" w:rsidP="00B12301">
      <w:r w:rsidRPr="00291E5E">
        <w:t>The Tribunal</w:t>
      </w:r>
      <w:r w:rsidR="0050078B">
        <w:t>’</w:t>
      </w:r>
      <w:r w:rsidRPr="00291E5E">
        <w:t>s procurement practices supported SMEs by ensuring requests for quotations were clear, written in plain English and presented in an accessible format.</w:t>
      </w:r>
    </w:p>
    <w:p w14:paraId="4B4889C8" w14:textId="565E1ABA" w:rsidR="00291E5E" w:rsidRPr="00291E5E" w:rsidRDefault="00291E5E" w:rsidP="00D579F2">
      <w:pPr>
        <w:pStyle w:val="ARH2-Bodycopyheadinglevel1"/>
      </w:pPr>
      <w:r w:rsidRPr="00291E5E">
        <w:t>Advertising campaigns</w:t>
      </w:r>
    </w:p>
    <w:p w14:paraId="38DA89C9" w14:textId="77777777" w:rsidR="00291E5E" w:rsidRPr="00291E5E" w:rsidRDefault="00291E5E" w:rsidP="00B12301">
      <w:r w:rsidRPr="00291E5E">
        <w:t>No advertising campaigns were undertaken by the Tribunal during the reporting year.</w:t>
      </w:r>
    </w:p>
    <w:p w14:paraId="09B9909A" w14:textId="62D2EA66" w:rsidR="00291E5E" w:rsidRPr="00291E5E" w:rsidRDefault="00291E5E" w:rsidP="00D579F2">
      <w:pPr>
        <w:pStyle w:val="ARH2-Bodycopyheadinglevel1"/>
      </w:pPr>
      <w:r w:rsidRPr="00291E5E">
        <w:t>Privacy</w:t>
      </w:r>
    </w:p>
    <w:p w14:paraId="2EED13FA" w14:textId="77777777" w:rsidR="00291E5E" w:rsidRPr="00291E5E" w:rsidRDefault="00291E5E" w:rsidP="00B12301">
      <w:r w:rsidRPr="00291E5E">
        <w:t xml:space="preserve">The Tribunal complied with the requirements of the </w:t>
      </w:r>
      <w:r w:rsidRPr="00291E5E">
        <w:rPr>
          <w:i/>
          <w:iCs/>
        </w:rPr>
        <w:t xml:space="preserve">Privacy Act 1988 </w:t>
      </w:r>
      <w:r w:rsidRPr="00291E5E">
        <w:t>in relation to collecting, processing, storing, using and disclosing personal information.</w:t>
      </w:r>
    </w:p>
    <w:p w14:paraId="7D33A5B2" w14:textId="0F32F959" w:rsidR="00291E5E" w:rsidRPr="00291E5E" w:rsidRDefault="00291E5E" w:rsidP="00D579F2">
      <w:pPr>
        <w:pStyle w:val="ARH2-Bodycopyheadinglevel1"/>
        <w:rPr>
          <w:sz w:val="20"/>
          <w:szCs w:val="20"/>
        </w:rPr>
      </w:pPr>
      <w:r w:rsidRPr="00291E5E">
        <w:lastRenderedPageBreak/>
        <w:t>Freedom of information</w:t>
      </w:r>
    </w:p>
    <w:p w14:paraId="4168A762" w14:textId="77777777" w:rsidR="00291E5E" w:rsidRPr="00291E5E" w:rsidRDefault="00291E5E" w:rsidP="00B12301">
      <w:r w:rsidRPr="00291E5E">
        <w:t xml:space="preserve">Part II of the </w:t>
      </w:r>
      <w:r w:rsidRPr="00291E5E">
        <w:rPr>
          <w:i/>
          <w:iCs/>
        </w:rPr>
        <w:t xml:space="preserve">Freedom of Information Act 1982 </w:t>
      </w:r>
      <w:r w:rsidRPr="00291E5E">
        <w:t xml:space="preserve">(the FOI Act) requires agencies to publish information to the public as part of the Information Publication Scheme (IPS). </w:t>
      </w:r>
    </w:p>
    <w:p w14:paraId="66EA2F0B" w14:textId="77777777" w:rsidR="00291E5E" w:rsidRPr="00291E5E" w:rsidRDefault="00291E5E" w:rsidP="00B12301">
      <w:r w:rsidRPr="00291E5E">
        <w:t>This reporting year, the Tribunal received no FOI applications.</w:t>
      </w:r>
    </w:p>
    <w:p w14:paraId="5DF05E78" w14:textId="37C397D2" w:rsidR="00291E5E" w:rsidRPr="00291E5E" w:rsidRDefault="00291E5E" w:rsidP="00D579F2">
      <w:pPr>
        <w:pStyle w:val="ARH3-Bodycopyheadinglevel1"/>
      </w:pPr>
      <w:r w:rsidRPr="00291E5E">
        <w:t>Documents held</w:t>
      </w:r>
    </w:p>
    <w:p w14:paraId="6964FB35" w14:textId="77777777" w:rsidR="00291E5E" w:rsidRPr="00291E5E" w:rsidRDefault="00291E5E" w:rsidP="00B12301">
      <w:r w:rsidRPr="00291E5E">
        <w:t xml:space="preserve">The types of documents the Tribunal held include: </w:t>
      </w:r>
    </w:p>
    <w:p w14:paraId="62060362" w14:textId="77777777" w:rsidR="00291E5E" w:rsidRPr="00291E5E" w:rsidRDefault="00291E5E" w:rsidP="00B12301">
      <w:pPr>
        <w:pStyle w:val="ARBulletListL1"/>
      </w:pPr>
      <w:r w:rsidRPr="00291E5E">
        <w:t xml:space="preserve">documents relating to complaints made to the Tribunal including Tribunal determinations and reasons for determinations </w:t>
      </w:r>
    </w:p>
    <w:p w14:paraId="1BBCAC5B" w14:textId="77777777" w:rsidR="00291E5E" w:rsidRPr="00291E5E" w:rsidRDefault="00291E5E" w:rsidP="00B12301">
      <w:pPr>
        <w:pStyle w:val="ARBulletListL1"/>
      </w:pPr>
      <w:r w:rsidRPr="00291E5E">
        <w:t xml:space="preserve">an electronic case management system containing information in relation to complaints made to the Tribunal </w:t>
      </w:r>
    </w:p>
    <w:p w14:paraId="302CEC29" w14:textId="77777777" w:rsidR="00291E5E" w:rsidRPr="00291E5E" w:rsidRDefault="00291E5E" w:rsidP="00B12301">
      <w:pPr>
        <w:pStyle w:val="ARBulletListL1"/>
      </w:pPr>
      <w:r w:rsidRPr="00291E5E">
        <w:t xml:space="preserve">Tribunal practice and procedure guidelines </w:t>
      </w:r>
    </w:p>
    <w:p w14:paraId="466CB736" w14:textId="77777777" w:rsidR="00291E5E" w:rsidRPr="00291E5E" w:rsidRDefault="00291E5E" w:rsidP="00B12301">
      <w:pPr>
        <w:pStyle w:val="ARBulletListL1"/>
      </w:pPr>
      <w:r w:rsidRPr="00291E5E">
        <w:t>documents and other materials containing information on the Tribunal processes, including information sheets and brochures.</w:t>
      </w:r>
    </w:p>
    <w:p w14:paraId="266685A0" w14:textId="497CF564" w:rsidR="00291E5E" w:rsidRPr="00291E5E" w:rsidRDefault="00291E5E" w:rsidP="00D579F2">
      <w:pPr>
        <w:pStyle w:val="ARH3-Bodycopyheadinglevel1"/>
      </w:pPr>
      <w:r w:rsidRPr="00291E5E">
        <w:t>Lodging an FOI request</w:t>
      </w:r>
    </w:p>
    <w:p w14:paraId="462107BE" w14:textId="13BF445E" w:rsidR="00291E5E" w:rsidRPr="00291E5E" w:rsidRDefault="00291E5E" w:rsidP="00B12301">
      <w:r w:rsidRPr="00291E5E">
        <w:t>If you want to acces</w:t>
      </w:r>
      <w:r w:rsidR="00C33941">
        <w:t>s</w:t>
      </w:r>
      <w:r w:rsidRPr="00291E5E">
        <w:t xml:space="preserve"> documents, you must send a request in writing by mail or email. You should state the request is an application for the purposes of the FOI Act and provide sufficient information so the documents can be readily identified. You should also advise how you would like to receive the documents and provide a postal or email address.</w:t>
      </w:r>
    </w:p>
    <w:p w14:paraId="7C32DBD6" w14:textId="77777777" w:rsidR="00291E5E" w:rsidRPr="00291E5E" w:rsidRDefault="00291E5E" w:rsidP="00B12301">
      <w:r w:rsidRPr="00291E5E">
        <w:t>The application may be posted to:</w:t>
      </w:r>
    </w:p>
    <w:p w14:paraId="46289C73" w14:textId="77777777" w:rsidR="00291E5E" w:rsidRPr="00291E5E" w:rsidRDefault="00291E5E" w:rsidP="00B12301">
      <w:r w:rsidRPr="00291E5E">
        <w:t>Senior Manager – Freedom of Information</w:t>
      </w:r>
    </w:p>
    <w:p w14:paraId="1F06BD6C" w14:textId="77777777" w:rsidR="00291E5E" w:rsidRPr="00291E5E" w:rsidRDefault="00291E5E" w:rsidP="00B12301">
      <w:r w:rsidRPr="00291E5E">
        <w:t>GPO Box 9827</w:t>
      </w:r>
    </w:p>
    <w:p w14:paraId="609DA350" w14:textId="77777777" w:rsidR="00291E5E" w:rsidRPr="00291E5E" w:rsidRDefault="00291E5E" w:rsidP="00B12301">
      <w:r w:rsidRPr="00291E5E">
        <w:t>Brisbane QLD 4001</w:t>
      </w:r>
    </w:p>
    <w:p w14:paraId="1A8F0E0E" w14:textId="77777777" w:rsidR="00291E5E" w:rsidRPr="00291E5E" w:rsidRDefault="00291E5E" w:rsidP="00B12301">
      <w:r w:rsidRPr="00291E5E">
        <w:t xml:space="preserve">Or email: </w:t>
      </w:r>
      <w:hyperlink r:id="rId23" w:history="1">
        <w:r w:rsidRPr="00291E5E">
          <w:rPr>
            <w:rFonts w:ascii="Arial" w:hAnsi="Arial" w:cs="Arial"/>
            <w:color w:val="0563C1" w:themeColor="hyperlink"/>
            <w:szCs w:val="20"/>
            <w:u w:val="single"/>
          </w:rPr>
          <w:t>FOIrequest@asic.gov.au</w:t>
        </w:r>
      </w:hyperlink>
    </w:p>
    <w:p w14:paraId="0C4FD608" w14:textId="6976EF88" w:rsidR="00291E5E" w:rsidRPr="00291E5E" w:rsidRDefault="00291E5E" w:rsidP="00D579F2">
      <w:pPr>
        <w:pStyle w:val="ARH3-Bodycopyheadinglevel1"/>
      </w:pPr>
      <w:r w:rsidRPr="00291E5E">
        <w:t>Process for applications</w:t>
      </w:r>
      <w:bookmarkStart w:id="30" w:name="_Hlk518912257"/>
    </w:p>
    <w:bookmarkEnd w:id="30"/>
    <w:p w14:paraId="6DD29997" w14:textId="77777777" w:rsidR="00291E5E" w:rsidRPr="00291E5E" w:rsidRDefault="00291E5E" w:rsidP="00B12301">
      <w:r w:rsidRPr="00291E5E">
        <w:t>On receiving an FOI request, generally permission is sought from the provider of the information to release the information pursuant to s 63(3)(b) of the SRC Act.</w:t>
      </w:r>
    </w:p>
    <w:p w14:paraId="435B27E5" w14:textId="77777777" w:rsidR="00291E5E" w:rsidRPr="00291E5E" w:rsidRDefault="00291E5E" w:rsidP="00B12301">
      <w:r w:rsidRPr="00291E5E">
        <w:t>If the information provider agrees, this usually provides a faster, cheaper and more satisfactory result for all. It also accords with s 3A of the FOI Act which encourages the provision of information access outside the FOI regime where proper or required by law.</w:t>
      </w:r>
    </w:p>
    <w:p w14:paraId="4595A40F" w14:textId="126B7477" w:rsidR="00291E5E" w:rsidRPr="00291E5E" w:rsidRDefault="00291E5E" w:rsidP="00B12301">
      <w:r w:rsidRPr="00291E5E">
        <w:t>If the information provider does not agree to the release of information, then the FOI application is processed in the normal way within the requisite statutory timeframe.</w:t>
      </w:r>
    </w:p>
    <w:p w14:paraId="18C39F5B" w14:textId="16D39CE1" w:rsidR="00291E5E" w:rsidRPr="00291E5E" w:rsidRDefault="00291E5E" w:rsidP="00D579F2">
      <w:pPr>
        <w:pStyle w:val="ARH1-Mainsectionheading"/>
      </w:pPr>
      <w:bookmarkStart w:id="31" w:name="_Toc82442779"/>
      <w:r w:rsidRPr="00291E5E">
        <w:lastRenderedPageBreak/>
        <w:t>Appendices</w:t>
      </w:r>
      <w:bookmarkEnd w:id="3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6393"/>
      </w:tblGrid>
      <w:tr w:rsidR="00291E5E" w:rsidRPr="00291E5E" w14:paraId="0031137C" w14:textId="77777777" w:rsidTr="00181552">
        <w:tc>
          <w:tcPr>
            <w:tcW w:w="2633" w:type="dxa"/>
          </w:tcPr>
          <w:p w14:paraId="5B744E50" w14:textId="77777777" w:rsidR="00291E5E" w:rsidRPr="00291E5E" w:rsidRDefault="00291E5E" w:rsidP="00B12301">
            <w:pPr>
              <w:rPr>
                <w:highlight w:val="yellow"/>
              </w:rPr>
            </w:pPr>
            <w:bookmarkStart w:id="32" w:name="_Hlk77930392"/>
            <w:r w:rsidRPr="00291E5E">
              <w:t xml:space="preserve">Appendix 1.0 </w:t>
            </w:r>
          </w:p>
        </w:tc>
        <w:tc>
          <w:tcPr>
            <w:tcW w:w="6394" w:type="dxa"/>
          </w:tcPr>
          <w:p w14:paraId="17ED2855" w14:textId="77777777" w:rsidR="00291E5E" w:rsidRPr="00291E5E" w:rsidRDefault="00291E5E" w:rsidP="00B12301">
            <w:pPr>
              <w:rPr>
                <w:highlight w:val="yellow"/>
              </w:rPr>
            </w:pPr>
            <w:r w:rsidRPr="00291E5E">
              <w:t>Financial statement</w:t>
            </w:r>
          </w:p>
        </w:tc>
      </w:tr>
      <w:tr w:rsidR="00181552" w:rsidRPr="00291E5E" w14:paraId="1EB7009C" w14:textId="77777777" w:rsidTr="00181552">
        <w:tc>
          <w:tcPr>
            <w:tcW w:w="2633" w:type="dxa"/>
          </w:tcPr>
          <w:p w14:paraId="75C51DE9" w14:textId="77777777" w:rsidR="00181552" w:rsidRPr="00291E5E" w:rsidRDefault="00181552" w:rsidP="00B12301">
            <w:pPr>
              <w:rPr>
                <w:highlight w:val="yellow"/>
              </w:rPr>
            </w:pPr>
            <w:r w:rsidRPr="00291E5E">
              <w:t xml:space="preserve">Appendix 2.0 </w:t>
            </w:r>
          </w:p>
        </w:tc>
        <w:tc>
          <w:tcPr>
            <w:tcW w:w="6394" w:type="dxa"/>
          </w:tcPr>
          <w:p w14:paraId="261977BF" w14:textId="77777777" w:rsidR="00181552" w:rsidRPr="00291E5E" w:rsidRDefault="00181552" w:rsidP="00B12301">
            <w:pPr>
              <w:rPr>
                <w:highlight w:val="yellow"/>
              </w:rPr>
            </w:pPr>
            <w:r w:rsidRPr="00291E5E">
              <w:t>Memorandum of understanding with ASIC</w:t>
            </w:r>
          </w:p>
        </w:tc>
      </w:tr>
      <w:tr w:rsidR="00181552" w:rsidRPr="00291E5E" w14:paraId="437C2169" w14:textId="77777777" w:rsidTr="00181552">
        <w:tc>
          <w:tcPr>
            <w:tcW w:w="2633" w:type="dxa"/>
          </w:tcPr>
          <w:p w14:paraId="6D9F2647" w14:textId="77777777" w:rsidR="00181552" w:rsidRPr="00291E5E" w:rsidRDefault="00181552" w:rsidP="00B12301">
            <w:r w:rsidRPr="00291E5E">
              <w:t>Appendix 3.0</w:t>
            </w:r>
          </w:p>
        </w:tc>
        <w:tc>
          <w:tcPr>
            <w:tcW w:w="6394" w:type="dxa"/>
          </w:tcPr>
          <w:p w14:paraId="0D8C682F" w14:textId="77777777" w:rsidR="00181552" w:rsidRPr="00291E5E" w:rsidRDefault="00181552" w:rsidP="00B12301">
            <w:r w:rsidRPr="00291E5E">
              <w:t>Service Charter</w:t>
            </w:r>
          </w:p>
        </w:tc>
      </w:tr>
      <w:tr w:rsidR="00291E5E" w:rsidRPr="00291E5E" w14:paraId="3A168556" w14:textId="77777777" w:rsidTr="00181552">
        <w:tc>
          <w:tcPr>
            <w:tcW w:w="2633" w:type="dxa"/>
          </w:tcPr>
          <w:p w14:paraId="0C1AA306" w14:textId="77777777" w:rsidR="00291E5E" w:rsidRPr="00291E5E" w:rsidRDefault="00291E5E" w:rsidP="00B12301">
            <w:pPr>
              <w:rPr>
                <w:highlight w:val="yellow"/>
              </w:rPr>
            </w:pPr>
            <w:r w:rsidRPr="00291E5E">
              <w:t>Appendix 4.0</w:t>
            </w:r>
          </w:p>
        </w:tc>
        <w:tc>
          <w:tcPr>
            <w:tcW w:w="6394" w:type="dxa"/>
          </w:tcPr>
          <w:p w14:paraId="74ECC38A" w14:textId="370C32C2" w:rsidR="00291E5E" w:rsidRPr="00291E5E" w:rsidRDefault="00291E5E" w:rsidP="00B12301">
            <w:r w:rsidRPr="00291E5E">
              <w:t>Chairperson</w:t>
            </w:r>
            <w:r w:rsidR="0050078B">
              <w:t>’</w:t>
            </w:r>
            <w:r w:rsidRPr="00291E5E">
              <w:t>s guidelines and procedural rules – signed by Tribunal Chairperson in February 2020</w:t>
            </w:r>
          </w:p>
        </w:tc>
      </w:tr>
      <w:tr w:rsidR="00291E5E" w:rsidRPr="00291E5E" w14:paraId="6CF1702B" w14:textId="77777777" w:rsidTr="00181552">
        <w:tc>
          <w:tcPr>
            <w:tcW w:w="2633" w:type="dxa"/>
          </w:tcPr>
          <w:p w14:paraId="0D0605FE" w14:textId="77777777" w:rsidR="00291E5E" w:rsidRPr="00291E5E" w:rsidRDefault="00291E5E" w:rsidP="00B12301">
            <w:pPr>
              <w:rPr>
                <w:highlight w:val="yellow"/>
              </w:rPr>
            </w:pPr>
            <w:r w:rsidRPr="00291E5E">
              <w:t xml:space="preserve">Appendix 5.0 </w:t>
            </w:r>
          </w:p>
        </w:tc>
        <w:tc>
          <w:tcPr>
            <w:tcW w:w="6394" w:type="dxa"/>
          </w:tcPr>
          <w:p w14:paraId="3B209B45" w14:textId="77777777" w:rsidR="00291E5E" w:rsidRPr="00291E5E" w:rsidRDefault="00291E5E" w:rsidP="00B12301">
            <w:r w:rsidRPr="00291E5E">
              <w:t>Conciliation attendance guidelines</w:t>
            </w:r>
          </w:p>
        </w:tc>
      </w:tr>
      <w:tr w:rsidR="00181552" w:rsidRPr="00291E5E" w14:paraId="7D03679D" w14:textId="77777777" w:rsidTr="00181552">
        <w:tc>
          <w:tcPr>
            <w:tcW w:w="2633" w:type="dxa"/>
          </w:tcPr>
          <w:p w14:paraId="0569141E" w14:textId="77777777" w:rsidR="00181552" w:rsidRPr="00291E5E" w:rsidRDefault="00181552" w:rsidP="00B12301">
            <w:pPr>
              <w:rPr>
                <w:highlight w:val="yellow"/>
              </w:rPr>
            </w:pPr>
            <w:r w:rsidRPr="00291E5E">
              <w:t xml:space="preserve">Appendix 6.0 </w:t>
            </w:r>
          </w:p>
        </w:tc>
        <w:tc>
          <w:tcPr>
            <w:tcW w:w="6394" w:type="dxa"/>
          </w:tcPr>
          <w:p w14:paraId="2B3564FE" w14:textId="77777777" w:rsidR="00181552" w:rsidRPr="00291E5E" w:rsidRDefault="00181552" w:rsidP="00B12301">
            <w:pPr>
              <w:rPr>
                <w:highlight w:val="yellow"/>
              </w:rPr>
            </w:pPr>
            <w:r w:rsidRPr="00291E5E">
              <w:t>Delegations – signed by Tribunal Chairperson in February 2020</w:t>
            </w:r>
          </w:p>
        </w:tc>
      </w:tr>
      <w:tr w:rsidR="00181552" w:rsidRPr="00291E5E" w14:paraId="494B73C9" w14:textId="77777777" w:rsidTr="00181552">
        <w:tc>
          <w:tcPr>
            <w:tcW w:w="2633" w:type="dxa"/>
          </w:tcPr>
          <w:p w14:paraId="06AADC70" w14:textId="77777777" w:rsidR="00181552" w:rsidRPr="00291E5E" w:rsidRDefault="00181552" w:rsidP="00B12301">
            <w:pPr>
              <w:rPr>
                <w:highlight w:val="yellow"/>
              </w:rPr>
            </w:pPr>
            <w:r w:rsidRPr="00291E5E">
              <w:t xml:space="preserve">Appendix 7.0 </w:t>
            </w:r>
          </w:p>
        </w:tc>
        <w:tc>
          <w:tcPr>
            <w:tcW w:w="6394" w:type="dxa"/>
          </w:tcPr>
          <w:p w14:paraId="63D76577" w14:textId="77777777" w:rsidR="00181552" w:rsidRPr="00291E5E" w:rsidRDefault="00181552" w:rsidP="00B12301">
            <w:pPr>
              <w:rPr>
                <w:highlight w:val="yellow"/>
              </w:rPr>
            </w:pPr>
            <w:r w:rsidRPr="00291E5E">
              <w:t>External scrutiny</w:t>
            </w:r>
          </w:p>
        </w:tc>
      </w:tr>
      <w:bookmarkEnd w:id="32"/>
    </w:tbl>
    <w:p w14:paraId="6EA5CD1E" w14:textId="24A69A3A" w:rsidR="00291E5E" w:rsidRPr="00291E5E" w:rsidRDefault="00291E5E" w:rsidP="00B12301"/>
    <w:p w14:paraId="69BAF5B3" w14:textId="77777777" w:rsidR="00291E5E" w:rsidRPr="00291E5E" w:rsidRDefault="00291E5E" w:rsidP="00B12301">
      <w:r w:rsidRPr="00291E5E">
        <w:br w:type="page"/>
      </w:r>
    </w:p>
    <w:p w14:paraId="4470D355" w14:textId="6859E7E1" w:rsidR="00291E5E" w:rsidRPr="00291E5E" w:rsidRDefault="00291E5E" w:rsidP="00D579F2">
      <w:pPr>
        <w:pStyle w:val="ARH2-Bodycopyheadinglevel1"/>
      </w:pPr>
      <w:r w:rsidRPr="00291E5E">
        <w:lastRenderedPageBreak/>
        <w:t xml:space="preserve">Appendix 1.0 </w:t>
      </w:r>
      <w:r w:rsidRPr="00291E5E">
        <w:tab/>
        <w:t xml:space="preserve"> Financial statement</w:t>
      </w:r>
      <w:bookmarkStart w:id="33" w:name="_Hlk45888634"/>
      <w:r w:rsidRPr="00291E5E">
        <w:t xml:space="preserve"> </w:t>
      </w:r>
    </w:p>
    <w:p w14:paraId="37682EA8" w14:textId="77777777" w:rsidR="00291E5E" w:rsidRPr="00291E5E" w:rsidRDefault="00291E5E" w:rsidP="00B12301">
      <w:r w:rsidRPr="00291E5E">
        <w:t>Pursuant to s 62 of the SRC Act, ASIC provides the staff and facilities as are necessary or desirable to enable the Tribunal to perform its functions.</w:t>
      </w:r>
    </w:p>
    <w:p w14:paraId="32D2C783" w14:textId="6B14D127" w:rsidR="00291E5E" w:rsidRPr="00291E5E" w:rsidRDefault="00291E5E" w:rsidP="00B12301">
      <w:r w:rsidRPr="00291E5E">
        <w:t>ASIC incurred $</w:t>
      </w:r>
      <w:r w:rsidR="00D317FD">
        <w:t>2.024</w:t>
      </w:r>
      <w:r w:rsidRPr="00291E5E">
        <w:t>m on behalf of the Tribunal in 2020–21.</w:t>
      </w:r>
    </w:p>
    <w:p w14:paraId="5B3CB651" w14:textId="642B0245" w:rsidR="00291E5E" w:rsidRPr="00291E5E" w:rsidRDefault="00291E5E" w:rsidP="00B12301">
      <w:pPr>
        <w:pStyle w:val="ARTableFigureTitle"/>
      </w:pPr>
      <w:bookmarkStart w:id="34" w:name="_Hlk523211536"/>
      <w:r w:rsidRPr="00291E5E">
        <w:t>Figure 1.0 ASIC</w:t>
      </w:r>
      <w:r w:rsidR="0050078B">
        <w:t>’</w:t>
      </w:r>
      <w:r w:rsidRPr="00291E5E">
        <w:t>s financial expenditure for the Superannuation Complaints Tribunal</w:t>
      </w:r>
    </w:p>
    <w:tbl>
      <w:tblPr>
        <w:tblStyle w:val="TableGrid"/>
        <w:tblW w:w="5000" w:type="pct"/>
        <w:tblLook w:val="04A0" w:firstRow="1" w:lastRow="0" w:firstColumn="1" w:lastColumn="0" w:noHBand="0" w:noVBand="1"/>
      </w:tblPr>
      <w:tblGrid>
        <w:gridCol w:w="2400"/>
        <w:gridCol w:w="2152"/>
        <w:gridCol w:w="2152"/>
        <w:gridCol w:w="2312"/>
      </w:tblGrid>
      <w:tr w:rsidR="00291E5E" w:rsidRPr="00291E5E" w14:paraId="753D1FD3" w14:textId="77777777" w:rsidTr="00576557">
        <w:tc>
          <w:tcPr>
            <w:tcW w:w="2010" w:type="dxa"/>
          </w:tcPr>
          <w:p w14:paraId="432B3770" w14:textId="77777777" w:rsidR="00291E5E" w:rsidRPr="00291E5E" w:rsidRDefault="00291E5E" w:rsidP="00B12301">
            <w:pPr>
              <w:pStyle w:val="ARTableText"/>
            </w:pPr>
            <w:r w:rsidRPr="00291E5E">
              <w:t>Year</w:t>
            </w:r>
          </w:p>
        </w:tc>
        <w:tc>
          <w:tcPr>
            <w:tcW w:w="1802" w:type="dxa"/>
          </w:tcPr>
          <w:p w14:paraId="6BFAA0BF" w14:textId="2DA94333" w:rsidR="00291E5E" w:rsidRPr="00291E5E" w:rsidRDefault="00291E5E" w:rsidP="00B12301">
            <w:pPr>
              <w:pStyle w:val="ARTableText"/>
            </w:pPr>
            <w:r w:rsidRPr="00291E5E">
              <w:t>20</w:t>
            </w:r>
            <w:r w:rsidR="0050078B">
              <w:noBreakHyphen/>
            </w:r>
            <w:r w:rsidRPr="00291E5E">
              <w:t>21</w:t>
            </w:r>
          </w:p>
        </w:tc>
        <w:tc>
          <w:tcPr>
            <w:tcW w:w="1802" w:type="dxa"/>
          </w:tcPr>
          <w:p w14:paraId="08F5B028" w14:textId="45F1531C" w:rsidR="00291E5E" w:rsidRPr="00291E5E" w:rsidRDefault="00291E5E" w:rsidP="00B12301">
            <w:pPr>
              <w:pStyle w:val="ARTableText"/>
            </w:pPr>
            <w:r w:rsidRPr="00291E5E">
              <w:t>19</w:t>
            </w:r>
            <w:r w:rsidR="0050078B">
              <w:noBreakHyphen/>
            </w:r>
            <w:r w:rsidRPr="00291E5E">
              <w:t>20</w:t>
            </w:r>
          </w:p>
        </w:tc>
        <w:tc>
          <w:tcPr>
            <w:tcW w:w="1936" w:type="dxa"/>
          </w:tcPr>
          <w:p w14:paraId="5473B03E" w14:textId="7A716421" w:rsidR="00291E5E" w:rsidRPr="00291E5E" w:rsidRDefault="00291E5E" w:rsidP="00B12301">
            <w:pPr>
              <w:pStyle w:val="ARTableText"/>
            </w:pPr>
            <w:r w:rsidRPr="00291E5E">
              <w:t>18</w:t>
            </w:r>
            <w:r w:rsidR="0050078B">
              <w:noBreakHyphen/>
            </w:r>
            <w:r w:rsidRPr="00291E5E">
              <w:t>19</w:t>
            </w:r>
          </w:p>
        </w:tc>
      </w:tr>
      <w:tr w:rsidR="00291E5E" w:rsidRPr="00291E5E" w14:paraId="7E7C6810" w14:textId="77777777" w:rsidTr="00576557">
        <w:tc>
          <w:tcPr>
            <w:tcW w:w="2010" w:type="dxa"/>
          </w:tcPr>
          <w:p w14:paraId="44FAD1AC" w14:textId="77777777" w:rsidR="00291E5E" w:rsidRPr="00291E5E" w:rsidRDefault="00291E5E" w:rsidP="00B12301">
            <w:pPr>
              <w:pStyle w:val="ARTableText"/>
            </w:pPr>
            <w:r w:rsidRPr="00291E5E">
              <w:t>$Millions</w:t>
            </w:r>
          </w:p>
        </w:tc>
        <w:tc>
          <w:tcPr>
            <w:tcW w:w="1802" w:type="dxa"/>
          </w:tcPr>
          <w:p w14:paraId="654A7C3D" w14:textId="77777777" w:rsidR="00291E5E" w:rsidRPr="00291E5E" w:rsidRDefault="00291E5E" w:rsidP="00B12301">
            <w:pPr>
              <w:pStyle w:val="ARTableText"/>
            </w:pPr>
            <w:r w:rsidRPr="00291E5E">
              <w:t>2.024</w:t>
            </w:r>
          </w:p>
        </w:tc>
        <w:tc>
          <w:tcPr>
            <w:tcW w:w="1802" w:type="dxa"/>
          </w:tcPr>
          <w:p w14:paraId="758D184F" w14:textId="00A80C5D" w:rsidR="00291E5E" w:rsidRPr="00291E5E" w:rsidRDefault="00291E5E" w:rsidP="00B12301">
            <w:pPr>
              <w:pStyle w:val="ARTableText"/>
            </w:pPr>
            <w:r w:rsidRPr="00291E5E">
              <w:t>7.68</w:t>
            </w:r>
            <w:r w:rsidR="00D317FD">
              <w:t>6</w:t>
            </w:r>
          </w:p>
        </w:tc>
        <w:tc>
          <w:tcPr>
            <w:tcW w:w="1936" w:type="dxa"/>
          </w:tcPr>
          <w:p w14:paraId="40EA7AF9" w14:textId="77777777" w:rsidR="00291E5E" w:rsidRPr="00291E5E" w:rsidRDefault="00291E5E" w:rsidP="00B12301">
            <w:pPr>
              <w:pStyle w:val="ARTableText"/>
            </w:pPr>
            <w:r w:rsidRPr="00291E5E">
              <w:t>7.502</w:t>
            </w:r>
          </w:p>
        </w:tc>
      </w:tr>
    </w:tbl>
    <w:p w14:paraId="77C69210" w14:textId="77777777" w:rsidR="00291E5E" w:rsidRPr="00291E5E" w:rsidRDefault="00291E5E" w:rsidP="00B12301">
      <w:pPr>
        <w:pStyle w:val="ARTableFigureTitle"/>
      </w:pPr>
      <w:r w:rsidRPr="00291E5E">
        <w:t>Figure 1.1 Tribunal member sitting fees</w:t>
      </w:r>
    </w:p>
    <w:tbl>
      <w:tblPr>
        <w:tblStyle w:val="TableGrid"/>
        <w:tblW w:w="5000" w:type="pct"/>
        <w:tblLook w:val="04A0" w:firstRow="1" w:lastRow="0" w:firstColumn="1" w:lastColumn="0" w:noHBand="0" w:noVBand="1"/>
      </w:tblPr>
      <w:tblGrid>
        <w:gridCol w:w="2377"/>
        <w:gridCol w:w="2178"/>
        <w:gridCol w:w="2178"/>
        <w:gridCol w:w="2283"/>
      </w:tblGrid>
      <w:tr w:rsidR="00291E5E" w:rsidRPr="00291E5E" w14:paraId="529212CF" w14:textId="77777777" w:rsidTr="00576557">
        <w:tc>
          <w:tcPr>
            <w:tcW w:w="1980" w:type="dxa"/>
          </w:tcPr>
          <w:p w14:paraId="17DE7257" w14:textId="77777777" w:rsidR="00291E5E" w:rsidRPr="00291E5E" w:rsidRDefault="00291E5E" w:rsidP="00B12301">
            <w:pPr>
              <w:pStyle w:val="ARTableText"/>
            </w:pPr>
            <w:r w:rsidRPr="00291E5E">
              <w:t>Year</w:t>
            </w:r>
          </w:p>
        </w:tc>
        <w:tc>
          <w:tcPr>
            <w:tcW w:w="1814" w:type="dxa"/>
          </w:tcPr>
          <w:p w14:paraId="4BD53744" w14:textId="0E5E0EA0" w:rsidR="00291E5E" w:rsidRPr="00291E5E" w:rsidRDefault="00291E5E" w:rsidP="00B12301">
            <w:pPr>
              <w:pStyle w:val="ARTableText"/>
            </w:pPr>
            <w:r w:rsidRPr="00291E5E">
              <w:t>20</w:t>
            </w:r>
            <w:r w:rsidR="0050078B">
              <w:noBreakHyphen/>
            </w:r>
            <w:r w:rsidRPr="00291E5E">
              <w:t>21</w:t>
            </w:r>
          </w:p>
        </w:tc>
        <w:tc>
          <w:tcPr>
            <w:tcW w:w="1814" w:type="dxa"/>
          </w:tcPr>
          <w:p w14:paraId="4DB6065E" w14:textId="1495AE23" w:rsidR="00291E5E" w:rsidRPr="00291E5E" w:rsidRDefault="00291E5E" w:rsidP="00B12301">
            <w:pPr>
              <w:pStyle w:val="ARTableText"/>
            </w:pPr>
            <w:r w:rsidRPr="00291E5E">
              <w:t>19</w:t>
            </w:r>
            <w:r w:rsidR="0050078B">
              <w:noBreakHyphen/>
            </w:r>
            <w:r w:rsidRPr="00291E5E">
              <w:t>20</w:t>
            </w:r>
          </w:p>
        </w:tc>
        <w:tc>
          <w:tcPr>
            <w:tcW w:w="1901" w:type="dxa"/>
          </w:tcPr>
          <w:p w14:paraId="5B1F15BE" w14:textId="17417452" w:rsidR="00291E5E" w:rsidRPr="00291E5E" w:rsidRDefault="00291E5E" w:rsidP="00B12301">
            <w:pPr>
              <w:pStyle w:val="ARTableText"/>
            </w:pPr>
            <w:r w:rsidRPr="00291E5E">
              <w:t>18</w:t>
            </w:r>
            <w:r w:rsidR="0050078B">
              <w:noBreakHyphen/>
            </w:r>
            <w:r w:rsidRPr="00291E5E">
              <w:t>19</w:t>
            </w:r>
          </w:p>
        </w:tc>
      </w:tr>
      <w:tr w:rsidR="00291E5E" w:rsidRPr="00291E5E" w14:paraId="27C0F4F7" w14:textId="77777777" w:rsidTr="00576557">
        <w:tc>
          <w:tcPr>
            <w:tcW w:w="1980" w:type="dxa"/>
          </w:tcPr>
          <w:p w14:paraId="48E8618C" w14:textId="77777777" w:rsidR="00291E5E" w:rsidRPr="00291E5E" w:rsidRDefault="00291E5E" w:rsidP="00B12301">
            <w:pPr>
              <w:pStyle w:val="ARTableText"/>
            </w:pPr>
            <w:r w:rsidRPr="00291E5E">
              <w:t>$Thousands</w:t>
            </w:r>
          </w:p>
        </w:tc>
        <w:tc>
          <w:tcPr>
            <w:tcW w:w="1814" w:type="dxa"/>
          </w:tcPr>
          <w:p w14:paraId="15F3033D" w14:textId="77777777" w:rsidR="00291E5E" w:rsidRPr="00291E5E" w:rsidRDefault="00291E5E" w:rsidP="00B12301">
            <w:pPr>
              <w:pStyle w:val="ARTableText"/>
            </w:pPr>
            <w:r w:rsidRPr="00291E5E">
              <w:t>274</w:t>
            </w:r>
          </w:p>
        </w:tc>
        <w:tc>
          <w:tcPr>
            <w:tcW w:w="1814" w:type="dxa"/>
          </w:tcPr>
          <w:p w14:paraId="26D00AA9" w14:textId="77777777" w:rsidR="00291E5E" w:rsidRPr="00291E5E" w:rsidRDefault="00291E5E" w:rsidP="00B12301">
            <w:pPr>
              <w:pStyle w:val="ARTableText"/>
            </w:pPr>
            <w:r w:rsidRPr="00291E5E">
              <w:t>850</w:t>
            </w:r>
          </w:p>
        </w:tc>
        <w:tc>
          <w:tcPr>
            <w:tcW w:w="1901" w:type="dxa"/>
          </w:tcPr>
          <w:p w14:paraId="1635C486" w14:textId="77777777" w:rsidR="00291E5E" w:rsidRPr="00291E5E" w:rsidRDefault="00291E5E" w:rsidP="00B12301">
            <w:pPr>
              <w:pStyle w:val="ARTableText"/>
            </w:pPr>
            <w:r w:rsidRPr="00291E5E">
              <w:t>912</w:t>
            </w:r>
          </w:p>
        </w:tc>
      </w:tr>
    </w:tbl>
    <w:p w14:paraId="15F45AC8" w14:textId="77777777" w:rsidR="00291E5E" w:rsidRPr="00291E5E" w:rsidRDefault="00291E5E" w:rsidP="00B12301">
      <w:pPr>
        <w:pStyle w:val="ARTableFigureTitle"/>
      </w:pPr>
      <w:r w:rsidRPr="00291E5E">
        <w:t>Figure 1.2 Salary and wages</w:t>
      </w:r>
    </w:p>
    <w:tbl>
      <w:tblPr>
        <w:tblStyle w:val="TableGrid"/>
        <w:tblW w:w="5000" w:type="pct"/>
        <w:tblLook w:val="04A0" w:firstRow="1" w:lastRow="0" w:firstColumn="1" w:lastColumn="0" w:noHBand="0" w:noVBand="1"/>
      </w:tblPr>
      <w:tblGrid>
        <w:gridCol w:w="2400"/>
        <w:gridCol w:w="2152"/>
        <w:gridCol w:w="2152"/>
        <w:gridCol w:w="2312"/>
      </w:tblGrid>
      <w:tr w:rsidR="00291E5E" w:rsidRPr="00291E5E" w14:paraId="00B45C13" w14:textId="77777777" w:rsidTr="009B68BF">
        <w:tc>
          <w:tcPr>
            <w:tcW w:w="2010" w:type="dxa"/>
          </w:tcPr>
          <w:p w14:paraId="5A4B54EA" w14:textId="77777777" w:rsidR="00291E5E" w:rsidRPr="00291E5E" w:rsidRDefault="00291E5E" w:rsidP="00B12301">
            <w:pPr>
              <w:pStyle w:val="ARTableText"/>
            </w:pPr>
            <w:r w:rsidRPr="00291E5E">
              <w:t>Year</w:t>
            </w:r>
          </w:p>
        </w:tc>
        <w:tc>
          <w:tcPr>
            <w:tcW w:w="1802" w:type="dxa"/>
          </w:tcPr>
          <w:p w14:paraId="17057FEF" w14:textId="4BC66819" w:rsidR="00291E5E" w:rsidRPr="00291E5E" w:rsidRDefault="00291E5E" w:rsidP="00B12301">
            <w:pPr>
              <w:pStyle w:val="ARTableText"/>
            </w:pPr>
            <w:r w:rsidRPr="00291E5E">
              <w:t>20</w:t>
            </w:r>
            <w:r w:rsidR="0050078B">
              <w:noBreakHyphen/>
            </w:r>
            <w:r w:rsidRPr="00291E5E">
              <w:t>21</w:t>
            </w:r>
          </w:p>
        </w:tc>
        <w:tc>
          <w:tcPr>
            <w:tcW w:w="1802" w:type="dxa"/>
          </w:tcPr>
          <w:p w14:paraId="4909AF04" w14:textId="7657666C" w:rsidR="00291E5E" w:rsidRPr="00291E5E" w:rsidRDefault="00291E5E" w:rsidP="00B12301">
            <w:pPr>
              <w:pStyle w:val="ARTableText"/>
            </w:pPr>
            <w:r w:rsidRPr="00291E5E">
              <w:t>19</w:t>
            </w:r>
            <w:r w:rsidR="0050078B">
              <w:noBreakHyphen/>
            </w:r>
            <w:r w:rsidRPr="00291E5E">
              <w:t>20</w:t>
            </w:r>
          </w:p>
        </w:tc>
        <w:tc>
          <w:tcPr>
            <w:tcW w:w="1936" w:type="dxa"/>
          </w:tcPr>
          <w:p w14:paraId="138C1954" w14:textId="553FBC31" w:rsidR="00291E5E" w:rsidRPr="00291E5E" w:rsidRDefault="00291E5E" w:rsidP="00B12301">
            <w:pPr>
              <w:pStyle w:val="ARTableText"/>
            </w:pPr>
            <w:r w:rsidRPr="00291E5E">
              <w:t>18</w:t>
            </w:r>
            <w:r w:rsidR="0050078B">
              <w:noBreakHyphen/>
            </w:r>
            <w:r w:rsidRPr="00291E5E">
              <w:t>19</w:t>
            </w:r>
          </w:p>
        </w:tc>
      </w:tr>
      <w:tr w:rsidR="00291E5E" w:rsidRPr="00291E5E" w14:paraId="2062BB0F" w14:textId="77777777" w:rsidTr="009B68BF">
        <w:tc>
          <w:tcPr>
            <w:tcW w:w="2010" w:type="dxa"/>
          </w:tcPr>
          <w:p w14:paraId="223CECFE" w14:textId="77777777" w:rsidR="00291E5E" w:rsidRPr="00291E5E" w:rsidRDefault="00291E5E" w:rsidP="00B12301">
            <w:pPr>
              <w:pStyle w:val="ARTableText"/>
            </w:pPr>
            <w:r w:rsidRPr="00291E5E">
              <w:t>$Millions</w:t>
            </w:r>
          </w:p>
        </w:tc>
        <w:tc>
          <w:tcPr>
            <w:tcW w:w="1802" w:type="dxa"/>
          </w:tcPr>
          <w:p w14:paraId="165C8692" w14:textId="77777777" w:rsidR="00291E5E" w:rsidRPr="00291E5E" w:rsidRDefault="00291E5E" w:rsidP="00B12301">
            <w:pPr>
              <w:pStyle w:val="ARTableText"/>
            </w:pPr>
            <w:r w:rsidRPr="00291E5E">
              <w:t>1.308</w:t>
            </w:r>
          </w:p>
        </w:tc>
        <w:tc>
          <w:tcPr>
            <w:tcW w:w="1802" w:type="dxa"/>
          </w:tcPr>
          <w:p w14:paraId="76A35A27" w14:textId="77777777" w:rsidR="00291E5E" w:rsidRPr="00291E5E" w:rsidRDefault="00291E5E" w:rsidP="00B12301">
            <w:pPr>
              <w:pStyle w:val="ARTableText"/>
            </w:pPr>
            <w:r w:rsidRPr="00291E5E">
              <w:t>5.919</w:t>
            </w:r>
          </w:p>
        </w:tc>
        <w:tc>
          <w:tcPr>
            <w:tcW w:w="1936" w:type="dxa"/>
          </w:tcPr>
          <w:p w14:paraId="73C67AD2" w14:textId="77777777" w:rsidR="00291E5E" w:rsidRPr="00291E5E" w:rsidRDefault="00291E5E" w:rsidP="00B12301">
            <w:pPr>
              <w:pStyle w:val="ARTableText"/>
            </w:pPr>
            <w:r w:rsidRPr="00291E5E">
              <w:t>5.404</w:t>
            </w:r>
          </w:p>
        </w:tc>
      </w:tr>
    </w:tbl>
    <w:p w14:paraId="00403A34" w14:textId="77777777" w:rsidR="00291E5E" w:rsidRPr="00291E5E" w:rsidRDefault="00291E5E" w:rsidP="00B12301">
      <w:pPr>
        <w:pStyle w:val="ARTableFigureTitle"/>
      </w:pPr>
      <w:r w:rsidRPr="00291E5E">
        <w:t>Figure 1.3 Property expenses</w:t>
      </w:r>
    </w:p>
    <w:tbl>
      <w:tblPr>
        <w:tblStyle w:val="TableGrid"/>
        <w:tblW w:w="5000" w:type="pct"/>
        <w:tblLook w:val="04A0" w:firstRow="1" w:lastRow="0" w:firstColumn="1" w:lastColumn="0" w:noHBand="0" w:noVBand="1"/>
      </w:tblPr>
      <w:tblGrid>
        <w:gridCol w:w="2405"/>
        <w:gridCol w:w="2126"/>
        <w:gridCol w:w="2127"/>
        <w:gridCol w:w="2358"/>
      </w:tblGrid>
      <w:tr w:rsidR="00291E5E" w:rsidRPr="00291E5E" w14:paraId="34CEB0BF" w14:textId="77777777" w:rsidTr="005C627F">
        <w:tc>
          <w:tcPr>
            <w:tcW w:w="2405" w:type="dxa"/>
          </w:tcPr>
          <w:p w14:paraId="3B05802F" w14:textId="77777777" w:rsidR="00291E5E" w:rsidRPr="00291E5E" w:rsidRDefault="00291E5E" w:rsidP="00B12301">
            <w:pPr>
              <w:pStyle w:val="ARTableText"/>
            </w:pPr>
            <w:r w:rsidRPr="00291E5E">
              <w:t>Year</w:t>
            </w:r>
          </w:p>
        </w:tc>
        <w:tc>
          <w:tcPr>
            <w:tcW w:w="2126" w:type="dxa"/>
          </w:tcPr>
          <w:p w14:paraId="5D1353C1" w14:textId="327AE409" w:rsidR="00291E5E" w:rsidRPr="00291E5E" w:rsidRDefault="00291E5E" w:rsidP="00B12301">
            <w:pPr>
              <w:pStyle w:val="ARTableText"/>
            </w:pPr>
            <w:r w:rsidRPr="00291E5E">
              <w:t>20</w:t>
            </w:r>
            <w:r w:rsidR="0050078B">
              <w:noBreakHyphen/>
            </w:r>
            <w:r w:rsidRPr="00291E5E">
              <w:t>21</w:t>
            </w:r>
          </w:p>
        </w:tc>
        <w:tc>
          <w:tcPr>
            <w:tcW w:w="2127" w:type="dxa"/>
          </w:tcPr>
          <w:p w14:paraId="498102AE" w14:textId="00BF8FD3" w:rsidR="00291E5E" w:rsidRPr="00291E5E" w:rsidRDefault="00291E5E" w:rsidP="00B12301">
            <w:pPr>
              <w:pStyle w:val="ARTableText"/>
            </w:pPr>
            <w:r w:rsidRPr="00291E5E">
              <w:t>19</w:t>
            </w:r>
            <w:r w:rsidR="0050078B">
              <w:noBreakHyphen/>
            </w:r>
            <w:r w:rsidRPr="00291E5E">
              <w:t>20</w:t>
            </w:r>
          </w:p>
        </w:tc>
        <w:tc>
          <w:tcPr>
            <w:tcW w:w="2358" w:type="dxa"/>
          </w:tcPr>
          <w:p w14:paraId="7550B8CE" w14:textId="44825B71" w:rsidR="00291E5E" w:rsidRPr="00291E5E" w:rsidRDefault="00291E5E" w:rsidP="00B12301">
            <w:pPr>
              <w:pStyle w:val="ARTableText"/>
            </w:pPr>
            <w:r w:rsidRPr="00291E5E">
              <w:t>18</w:t>
            </w:r>
            <w:r w:rsidR="0050078B">
              <w:noBreakHyphen/>
            </w:r>
            <w:r w:rsidRPr="00291E5E">
              <w:t>19</w:t>
            </w:r>
          </w:p>
        </w:tc>
      </w:tr>
      <w:tr w:rsidR="00291E5E" w:rsidRPr="00291E5E" w14:paraId="23955825" w14:textId="77777777" w:rsidTr="005C627F">
        <w:tc>
          <w:tcPr>
            <w:tcW w:w="2405" w:type="dxa"/>
          </w:tcPr>
          <w:p w14:paraId="785F573D" w14:textId="77777777" w:rsidR="00291E5E" w:rsidRPr="00291E5E" w:rsidRDefault="00291E5E" w:rsidP="00B12301">
            <w:pPr>
              <w:pStyle w:val="ARTableText"/>
            </w:pPr>
            <w:r w:rsidRPr="00291E5E">
              <w:t>$Thousands</w:t>
            </w:r>
          </w:p>
        </w:tc>
        <w:tc>
          <w:tcPr>
            <w:tcW w:w="2126" w:type="dxa"/>
          </w:tcPr>
          <w:p w14:paraId="7CA2C6C7" w14:textId="77777777" w:rsidR="00291E5E" w:rsidRPr="00291E5E" w:rsidRDefault="00291E5E" w:rsidP="00B12301">
            <w:pPr>
              <w:pStyle w:val="ARTableText"/>
            </w:pPr>
            <w:r w:rsidRPr="00291E5E">
              <w:t>140</w:t>
            </w:r>
          </w:p>
        </w:tc>
        <w:tc>
          <w:tcPr>
            <w:tcW w:w="2127" w:type="dxa"/>
          </w:tcPr>
          <w:p w14:paraId="0BB0B7CF" w14:textId="77777777" w:rsidR="00291E5E" w:rsidRPr="00291E5E" w:rsidRDefault="00291E5E" w:rsidP="00B12301">
            <w:pPr>
              <w:pStyle w:val="ARTableText"/>
            </w:pPr>
            <w:r w:rsidRPr="00291E5E">
              <w:t>276</w:t>
            </w:r>
          </w:p>
        </w:tc>
        <w:tc>
          <w:tcPr>
            <w:tcW w:w="2358" w:type="dxa"/>
          </w:tcPr>
          <w:p w14:paraId="158828E3" w14:textId="77777777" w:rsidR="00291E5E" w:rsidRPr="00291E5E" w:rsidRDefault="00291E5E" w:rsidP="00B12301">
            <w:pPr>
              <w:pStyle w:val="ARTableText"/>
            </w:pPr>
            <w:r w:rsidRPr="00291E5E">
              <w:t>420</w:t>
            </w:r>
          </w:p>
        </w:tc>
      </w:tr>
    </w:tbl>
    <w:p w14:paraId="02DF48C9" w14:textId="3F4755EA" w:rsidR="00291E5E" w:rsidRPr="00291E5E" w:rsidRDefault="00291E5E" w:rsidP="00B12301">
      <w:pPr>
        <w:pStyle w:val="ARTableFigureTitle"/>
      </w:pPr>
      <w:r w:rsidRPr="00291E5E">
        <w:t>Figure 1.4 O</w:t>
      </w:r>
      <w:r w:rsidR="00D317FD">
        <w:t>ther o</w:t>
      </w:r>
      <w:r w:rsidRPr="00291E5E">
        <w:t>perating expenses</w:t>
      </w:r>
    </w:p>
    <w:tbl>
      <w:tblPr>
        <w:tblStyle w:val="TableGrid"/>
        <w:tblW w:w="5000" w:type="pct"/>
        <w:tblLook w:val="04A0" w:firstRow="1" w:lastRow="0" w:firstColumn="1" w:lastColumn="0" w:noHBand="0" w:noVBand="1"/>
      </w:tblPr>
      <w:tblGrid>
        <w:gridCol w:w="2405"/>
        <w:gridCol w:w="2126"/>
        <w:gridCol w:w="2127"/>
        <w:gridCol w:w="2358"/>
      </w:tblGrid>
      <w:tr w:rsidR="00291E5E" w:rsidRPr="00291E5E" w14:paraId="58A1F5C5" w14:textId="77777777" w:rsidTr="005C627F">
        <w:tc>
          <w:tcPr>
            <w:tcW w:w="2405" w:type="dxa"/>
          </w:tcPr>
          <w:p w14:paraId="4AF7F4CD" w14:textId="77777777" w:rsidR="00291E5E" w:rsidRPr="00291E5E" w:rsidRDefault="00291E5E" w:rsidP="00B12301">
            <w:pPr>
              <w:pStyle w:val="ARTableText"/>
            </w:pPr>
            <w:r w:rsidRPr="00291E5E">
              <w:t>Year</w:t>
            </w:r>
          </w:p>
        </w:tc>
        <w:tc>
          <w:tcPr>
            <w:tcW w:w="2126" w:type="dxa"/>
          </w:tcPr>
          <w:p w14:paraId="257735A4" w14:textId="4F2D40FF" w:rsidR="00291E5E" w:rsidRPr="00291E5E" w:rsidRDefault="00291E5E" w:rsidP="00B12301">
            <w:pPr>
              <w:pStyle w:val="ARTableText"/>
            </w:pPr>
            <w:r w:rsidRPr="00291E5E">
              <w:t>20</w:t>
            </w:r>
            <w:r w:rsidR="0050078B">
              <w:noBreakHyphen/>
            </w:r>
            <w:r w:rsidRPr="00291E5E">
              <w:t>21</w:t>
            </w:r>
          </w:p>
        </w:tc>
        <w:tc>
          <w:tcPr>
            <w:tcW w:w="2127" w:type="dxa"/>
          </w:tcPr>
          <w:p w14:paraId="6951A4E6" w14:textId="65881655" w:rsidR="00291E5E" w:rsidRPr="00291E5E" w:rsidRDefault="00291E5E" w:rsidP="00B12301">
            <w:pPr>
              <w:pStyle w:val="ARTableText"/>
            </w:pPr>
            <w:r w:rsidRPr="00291E5E">
              <w:t>19</w:t>
            </w:r>
            <w:r w:rsidR="0050078B">
              <w:noBreakHyphen/>
            </w:r>
            <w:r w:rsidRPr="00291E5E">
              <w:t>20</w:t>
            </w:r>
          </w:p>
        </w:tc>
        <w:tc>
          <w:tcPr>
            <w:tcW w:w="2358" w:type="dxa"/>
          </w:tcPr>
          <w:p w14:paraId="7C3000F7" w14:textId="5D9ABCCD" w:rsidR="00291E5E" w:rsidRPr="00291E5E" w:rsidRDefault="00291E5E" w:rsidP="00B12301">
            <w:pPr>
              <w:pStyle w:val="ARTableText"/>
            </w:pPr>
            <w:r w:rsidRPr="00291E5E">
              <w:t>18</w:t>
            </w:r>
            <w:r w:rsidR="0050078B">
              <w:noBreakHyphen/>
            </w:r>
            <w:r w:rsidRPr="00291E5E">
              <w:t>19</w:t>
            </w:r>
          </w:p>
        </w:tc>
      </w:tr>
      <w:tr w:rsidR="00291E5E" w:rsidRPr="00291E5E" w14:paraId="5B7166B0" w14:textId="77777777" w:rsidTr="005C627F">
        <w:tc>
          <w:tcPr>
            <w:tcW w:w="2405" w:type="dxa"/>
          </w:tcPr>
          <w:p w14:paraId="585E7216" w14:textId="77777777" w:rsidR="00291E5E" w:rsidRPr="00291E5E" w:rsidRDefault="00291E5E" w:rsidP="00B12301">
            <w:pPr>
              <w:pStyle w:val="ARTableText"/>
            </w:pPr>
            <w:r w:rsidRPr="00291E5E">
              <w:t>$Thousands</w:t>
            </w:r>
          </w:p>
        </w:tc>
        <w:tc>
          <w:tcPr>
            <w:tcW w:w="2126" w:type="dxa"/>
          </w:tcPr>
          <w:p w14:paraId="3A4BA8EF" w14:textId="7496C813" w:rsidR="00291E5E" w:rsidRPr="00291E5E" w:rsidRDefault="00D317FD" w:rsidP="00B12301">
            <w:pPr>
              <w:pStyle w:val="ARTableText"/>
            </w:pPr>
            <w:r>
              <w:t>302</w:t>
            </w:r>
          </w:p>
        </w:tc>
        <w:tc>
          <w:tcPr>
            <w:tcW w:w="2127" w:type="dxa"/>
          </w:tcPr>
          <w:p w14:paraId="039CA4BB" w14:textId="77777777" w:rsidR="00291E5E" w:rsidRPr="00291E5E" w:rsidRDefault="00291E5E" w:rsidP="00B12301">
            <w:pPr>
              <w:pStyle w:val="ARTableText"/>
            </w:pPr>
            <w:r w:rsidRPr="00291E5E">
              <w:t>641</w:t>
            </w:r>
          </w:p>
        </w:tc>
        <w:tc>
          <w:tcPr>
            <w:tcW w:w="2358" w:type="dxa"/>
          </w:tcPr>
          <w:p w14:paraId="2B684D7C" w14:textId="77777777" w:rsidR="00291E5E" w:rsidRPr="00291E5E" w:rsidRDefault="00291E5E" w:rsidP="00B12301">
            <w:pPr>
              <w:pStyle w:val="ARTableText"/>
            </w:pPr>
            <w:r w:rsidRPr="00291E5E">
              <w:t>766</w:t>
            </w:r>
          </w:p>
        </w:tc>
      </w:tr>
    </w:tbl>
    <w:p w14:paraId="688816DA" w14:textId="77777777" w:rsidR="00291E5E" w:rsidRPr="00291E5E" w:rsidRDefault="00291E5E" w:rsidP="00B12301">
      <w:pPr>
        <w:pStyle w:val="ARTableFigureTitle"/>
      </w:pPr>
      <w:r w:rsidRPr="00291E5E">
        <w:t>Figure 1.5 Staff numbers</w:t>
      </w:r>
    </w:p>
    <w:tbl>
      <w:tblPr>
        <w:tblStyle w:val="TableGrid"/>
        <w:tblW w:w="5000" w:type="pct"/>
        <w:tblLook w:val="04A0" w:firstRow="1" w:lastRow="0" w:firstColumn="1" w:lastColumn="0" w:noHBand="0" w:noVBand="1"/>
      </w:tblPr>
      <w:tblGrid>
        <w:gridCol w:w="2405"/>
        <w:gridCol w:w="2126"/>
        <w:gridCol w:w="2175"/>
        <w:gridCol w:w="2310"/>
      </w:tblGrid>
      <w:tr w:rsidR="00291E5E" w:rsidRPr="00291E5E" w14:paraId="74D1F141" w14:textId="77777777" w:rsidTr="005C627F">
        <w:tc>
          <w:tcPr>
            <w:tcW w:w="2405" w:type="dxa"/>
          </w:tcPr>
          <w:p w14:paraId="47E197CA" w14:textId="77777777" w:rsidR="00291E5E" w:rsidRPr="00291E5E" w:rsidRDefault="00291E5E" w:rsidP="00B12301">
            <w:pPr>
              <w:pStyle w:val="ARTableText"/>
            </w:pPr>
            <w:r w:rsidRPr="00291E5E">
              <w:t>Year</w:t>
            </w:r>
          </w:p>
        </w:tc>
        <w:tc>
          <w:tcPr>
            <w:tcW w:w="2126" w:type="dxa"/>
          </w:tcPr>
          <w:p w14:paraId="3488FE1E" w14:textId="74CAC7BA" w:rsidR="00291E5E" w:rsidRPr="00291E5E" w:rsidRDefault="00291E5E" w:rsidP="00B12301">
            <w:pPr>
              <w:pStyle w:val="ARTableText"/>
            </w:pPr>
            <w:r w:rsidRPr="00291E5E">
              <w:t>20</w:t>
            </w:r>
            <w:r w:rsidR="0050078B">
              <w:noBreakHyphen/>
            </w:r>
            <w:r w:rsidRPr="00291E5E">
              <w:t>21</w:t>
            </w:r>
          </w:p>
        </w:tc>
        <w:tc>
          <w:tcPr>
            <w:tcW w:w="2175" w:type="dxa"/>
          </w:tcPr>
          <w:p w14:paraId="0689A7A8" w14:textId="68FA19CC" w:rsidR="00291E5E" w:rsidRPr="00291E5E" w:rsidRDefault="00291E5E" w:rsidP="00B12301">
            <w:pPr>
              <w:pStyle w:val="ARTableText"/>
            </w:pPr>
            <w:r w:rsidRPr="00291E5E">
              <w:t>19</w:t>
            </w:r>
            <w:r w:rsidR="0050078B">
              <w:noBreakHyphen/>
            </w:r>
            <w:r w:rsidRPr="00291E5E">
              <w:t>20</w:t>
            </w:r>
          </w:p>
        </w:tc>
        <w:tc>
          <w:tcPr>
            <w:tcW w:w="2310" w:type="dxa"/>
          </w:tcPr>
          <w:p w14:paraId="69F19AF1" w14:textId="28AAE267" w:rsidR="00291E5E" w:rsidRPr="00291E5E" w:rsidRDefault="00291E5E" w:rsidP="00B12301">
            <w:pPr>
              <w:pStyle w:val="ARTableText"/>
            </w:pPr>
            <w:r w:rsidRPr="00291E5E">
              <w:t>18</w:t>
            </w:r>
            <w:r w:rsidR="0050078B">
              <w:noBreakHyphen/>
            </w:r>
            <w:r w:rsidRPr="00291E5E">
              <w:t>19</w:t>
            </w:r>
          </w:p>
        </w:tc>
      </w:tr>
      <w:tr w:rsidR="00291E5E" w:rsidRPr="00291E5E" w14:paraId="664C37F6" w14:textId="77777777" w:rsidTr="005C627F">
        <w:tc>
          <w:tcPr>
            <w:tcW w:w="2405" w:type="dxa"/>
          </w:tcPr>
          <w:p w14:paraId="3521456C" w14:textId="77777777" w:rsidR="00291E5E" w:rsidRPr="00291E5E" w:rsidRDefault="00291E5E" w:rsidP="00B12301">
            <w:pPr>
              <w:pStyle w:val="ARTableText"/>
            </w:pPr>
            <w:r w:rsidRPr="00291E5E">
              <w:t>Average over 12 months</w:t>
            </w:r>
          </w:p>
        </w:tc>
        <w:tc>
          <w:tcPr>
            <w:tcW w:w="2126" w:type="dxa"/>
          </w:tcPr>
          <w:p w14:paraId="58710EFC" w14:textId="77777777" w:rsidR="00291E5E" w:rsidRPr="00291E5E" w:rsidRDefault="00291E5E" w:rsidP="00B12301">
            <w:pPr>
              <w:pStyle w:val="ARTableText"/>
            </w:pPr>
            <w:r w:rsidRPr="00291E5E">
              <w:t>15.6*</w:t>
            </w:r>
          </w:p>
        </w:tc>
        <w:tc>
          <w:tcPr>
            <w:tcW w:w="2175" w:type="dxa"/>
          </w:tcPr>
          <w:p w14:paraId="0458AFB8" w14:textId="77777777" w:rsidR="00291E5E" w:rsidRPr="00291E5E" w:rsidRDefault="00291E5E" w:rsidP="00B12301">
            <w:pPr>
              <w:pStyle w:val="ARTableText"/>
            </w:pPr>
            <w:r w:rsidRPr="00291E5E">
              <w:t>41.4 (5.641)</w:t>
            </w:r>
          </w:p>
        </w:tc>
        <w:tc>
          <w:tcPr>
            <w:tcW w:w="2310" w:type="dxa"/>
          </w:tcPr>
          <w:p w14:paraId="5959D4F9" w14:textId="77777777" w:rsidR="00291E5E" w:rsidRPr="00291E5E" w:rsidRDefault="00291E5E" w:rsidP="00B12301">
            <w:pPr>
              <w:pStyle w:val="ARTableText"/>
            </w:pPr>
            <w:r w:rsidRPr="00291E5E">
              <w:t>46</w:t>
            </w:r>
          </w:p>
        </w:tc>
      </w:tr>
    </w:tbl>
    <w:bookmarkEnd w:id="33"/>
    <w:bookmarkEnd w:id="34"/>
    <w:p w14:paraId="150BBA9A" w14:textId="73981080" w:rsidR="00291E5E" w:rsidRPr="00291E5E" w:rsidRDefault="00291E5E" w:rsidP="00576557">
      <w:pPr>
        <w:pStyle w:val="ARNote"/>
        <w:rPr>
          <w:rFonts w:ascii="Arial" w:hAnsi="Arial" w:cs="Arial"/>
          <w:szCs w:val="20"/>
        </w:rPr>
      </w:pPr>
      <w:r w:rsidRPr="00291E5E">
        <w:rPr>
          <w:rFonts w:ascii="Arial" w:hAnsi="Arial" w:cs="Arial"/>
          <w:szCs w:val="20"/>
        </w:rPr>
        <w:t xml:space="preserve">* </w:t>
      </w:r>
      <w:r w:rsidR="00576557">
        <w:rPr>
          <w:rFonts w:ascii="Arial" w:hAnsi="Arial" w:cs="Arial"/>
          <w:szCs w:val="20"/>
        </w:rPr>
        <w:tab/>
      </w:r>
      <w:r w:rsidRPr="00291E5E">
        <w:t>Average from July to December FTEs</w:t>
      </w:r>
    </w:p>
    <w:p w14:paraId="7E025E70" w14:textId="77777777" w:rsidR="00291E5E" w:rsidRPr="00291E5E" w:rsidRDefault="00291E5E" w:rsidP="00B12301">
      <w:r w:rsidRPr="00291E5E">
        <w:br w:type="page"/>
      </w:r>
    </w:p>
    <w:p w14:paraId="3BEDED3E" w14:textId="2746BB26" w:rsidR="00291E5E" w:rsidRPr="00291E5E" w:rsidRDefault="00291E5E" w:rsidP="00D579F2">
      <w:pPr>
        <w:pStyle w:val="ARH2-Bodycopyheadinglevel1"/>
      </w:pPr>
      <w:r w:rsidRPr="00291E5E">
        <w:lastRenderedPageBreak/>
        <w:t xml:space="preserve">Appendix 2.0 </w:t>
      </w:r>
      <w:r w:rsidRPr="00291E5E">
        <w:tab/>
        <w:t>Memorandum of understanding with ASIC</w:t>
      </w:r>
    </w:p>
    <w:p w14:paraId="4315382A" w14:textId="1B2B4C50" w:rsidR="00291E5E" w:rsidRPr="00291E5E" w:rsidRDefault="00291E5E" w:rsidP="00D579F2">
      <w:pPr>
        <w:pStyle w:val="ARH3-Bodycopyheadinglevel1"/>
      </w:pPr>
      <w:r w:rsidRPr="00291E5E">
        <w:t>SCT &amp; ASIC</w:t>
      </w:r>
    </w:p>
    <w:p w14:paraId="68ABE0EC" w14:textId="77777777" w:rsidR="00291E5E" w:rsidRPr="007B773D" w:rsidRDefault="00291E5E" w:rsidP="00B12301">
      <w:pPr>
        <w:pStyle w:val="ListParagraph"/>
        <w:numPr>
          <w:ilvl w:val="0"/>
          <w:numId w:val="12"/>
        </w:numPr>
        <w:rPr>
          <w:b/>
          <w:bCs/>
        </w:rPr>
      </w:pPr>
      <w:r w:rsidRPr="007B773D">
        <w:rPr>
          <w:b/>
          <w:bCs/>
        </w:rPr>
        <w:t>Objective</w:t>
      </w:r>
    </w:p>
    <w:p w14:paraId="24E0A583" w14:textId="107D02E4" w:rsidR="00291E5E" w:rsidRPr="00291E5E" w:rsidRDefault="00291E5E" w:rsidP="001142F2">
      <w:pPr>
        <w:pStyle w:val="ListParagraph"/>
        <w:numPr>
          <w:ilvl w:val="1"/>
          <w:numId w:val="12"/>
        </w:numPr>
        <w:ind w:left="1134" w:hanging="774"/>
      </w:pPr>
      <w:r w:rsidRPr="00291E5E">
        <w:t>This MOU recognises that co</w:t>
      </w:r>
      <w:r w:rsidR="0050078B">
        <w:noBreakHyphen/>
      </w:r>
      <w:r w:rsidRPr="00291E5E">
        <w:t>operation between the parties is essential to the effective and efficient performance of their respective duties and responsibilities within the terms of relevant statutory provisions.</w:t>
      </w:r>
    </w:p>
    <w:p w14:paraId="593A5C05" w14:textId="77777777" w:rsidR="00291E5E" w:rsidRPr="00291E5E" w:rsidRDefault="00291E5E" w:rsidP="001142F2">
      <w:pPr>
        <w:pStyle w:val="ListParagraph"/>
        <w:numPr>
          <w:ilvl w:val="1"/>
          <w:numId w:val="12"/>
        </w:numPr>
        <w:ind w:left="1134" w:hanging="774"/>
      </w:pPr>
      <w:r w:rsidRPr="00291E5E">
        <w:t>This MOU is not intended to create binding obligations on either organisation and the parties may by agreement vary its terms at any time.</w:t>
      </w:r>
    </w:p>
    <w:p w14:paraId="3C964F30" w14:textId="77777777" w:rsidR="00291E5E" w:rsidRPr="007B773D" w:rsidRDefault="00291E5E" w:rsidP="00B12301">
      <w:pPr>
        <w:pStyle w:val="ListParagraph"/>
        <w:numPr>
          <w:ilvl w:val="0"/>
          <w:numId w:val="12"/>
        </w:numPr>
        <w:rPr>
          <w:b/>
          <w:bCs/>
        </w:rPr>
      </w:pPr>
      <w:r w:rsidRPr="007B773D">
        <w:rPr>
          <w:b/>
          <w:bCs/>
        </w:rPr>
        <w:t>Responsibilities</w:t>
      </w:r>
    </w:p>
    <w:p w14:paraId="6D68AD57" w14:textId="77777777" w:rsidR="00291E5E" w:rsidRPr="00291E5E" w:rsidRDefault="00291E5E" w:rsidP="001142F2">
      <w:pPr>
        <w:pStyle w:val="ListParagraph"/>
        <w:numPr>
          <w:ilvl w:val="1"/>
          <w:numId w:val="12"/>
        </w:numPr>
        <w:ind w:left="1134" w:hanging="774"/>
      </w:pPr>
      <w:r w:rsidRPr="00291E5E">
        <w:t>ASIC is responsible for the administration and enforcement of the national scheme laws, being laws of the Commonwealth, States and Territories in relation to Australian companies, securities and futures markets; and for monitoring and promoting market integrity and consumer protection in relation to the Australian financial system, the provision of financial services and the payments system.</w:t>
      </w:r>
    </w:p>
    <w:p w14:paraId="63CED8B1" w14:textId="2957E9A8" w:rsidR="00291E5E" w:rsidRPr="00291E5E" w:rsidRDefault="00291E5E" w:rsidP="001142F2">
      <w:pPr>
        <w:pStyle w:val="ListParagraph"/>
        <w:numPr>
          <w:ilvl w:val="1"/>
          <w:numId w:val="12"/>
        </w:numPr>
        <w:ind w:left="1134" w:hanging="774"/>
      </w:pPr>
      <w:r w:rsidRPr="00291E5E">
        <w:t xml:space="preserve">The SCT was established under the </w:t>
      </w:r>
      <w:r w:rsidRPr="00B12301">
        <w:rPr>
          <w:i/>
        </w:rPr>
        <w:t xml:space="preserve">Superannuation (Resolution of Complaints) Act 1993) </w:t>
      </w:r>
      <w:r w:rsidRPr="00291E5E">
        <w:t>(SRC Act), as an independent disputes resolution body which enables certain superannuation</w:t>
      </w:r>
      <w:r w:rsidR="0050078B">
        <w:noBreakHyphen/>
      </w:r>
      <w:r w:rsidRPr="00291E5E">
        <w:t>related complaints to be dealt with where they have not been satisfactorily resolved with the superannuation entity. The functions of the SCT are to provide for the fair, economical, informal and quick resolution of complaints by inquiry, conciliation and, if necessary, by review.</w:t>
      </w:r>
    </w:p>
    <w:p w14:paraId="0D069D2A" w14:textId="77777777" w:rsidR="00291E5E" w:rsidRPr="007B773D" w:rsidRDefault="00291E5E" w:rsidP="00B12301">
      <w:pPr>
        <w:pStyle w:val="ListParagraph"/>
        <w:numPr>
          <w:ilvl w:val="0"/>
          <w:numId w:val="12"/>
        </w:numPr>
        <w:rPr>
          <w:b/>
          <w:bCs/>
        </w:rPr>
      </w:pPr>
      <w:r w:rsidRPr="007B773D">
        <w:rPr>
          <w:b/>
          <w:bCs/>
        </w:rPr>
        <w:t>Mutual Assistance</w:t>
      </w:r>
    </w:p>
    <w:p w14:paraId="51C81645" w14:textId="77777777" w:rsidR="00291E5E" w:rsidRPr="00B12301" w:rsidRDefault="00291E5E" w:rsidP="001142F2">
      <w:pPr>
        <w:pStyle w:val="ListParagraph"/>
        <w:numPr>
          <w:ilvl w:val="1"/>
          <w:numId w:val="12"/>
        </w:numPr>
        <w:ind w:left="1134" w:hanging="774"/>
        <w:rPr>
          <w:b/>
        </w:rPr>
      </w:pPr>
      <w:r w:rsidRPr="00291E5E">
        <w:t>The parties agree to provide each other with reasonable assistance in relation to their respective functions as is consistent with relevant laws and this MOU.</w:t>
      </w:r>
    </w:p>
    <w:p w14:paraId="3C38AA46" w14:textId="77777777" w:rsidR="00291E5E" w:rsidRPr="007B773D" w:rsidRDefault="00291E5E" w:rsidP="00B12301">
      <w:pPr>
        <w:pStyle w:val="ListParagraph"/>
        <w:numPr>
          <w:ilvl w:val="0"/>
          <w:numId w:val="12"/>
        </w:numPr>
        <w:rPr>
          <w:b/>
          <w:bCs/>
        </w:rPr>
      </w:pPr>
      <w:r w:rsidRPr="007B773D">
        <w:rPr>
          <w:b/>
          <w:bCs/>
        </w:rPr>
        <w:t>Information Sharing</w:t>
      </w:r>
    </w:p>
    <w:p w14:paraId="64E9099B" w14:textId="77777777" w:rsidR="00291E5E" w:rsidRPr="00291E5E" w:rsidRDefault="00291E5E" w:rsidP="001142F2">
      <w:pPr>
        <w:pStyle w:val="ListParagraph"/>
        <w:numPr>
          <w:ilvl w:val="1"/>
          <w:numId w:val="12"/>
        </w:numPr>
        <w:ind w:left="1134" w:hanging="774"/>
      </w:pPr>
      <w:r w:rsidRPr="00291E5E">
        <w:t>Information available to one party which is relevant to the other in terms of legislation or this MOU will be provided as soon as is reasonably practicable, with due regard to the urgency of doing so, subject to any relevant law, operational considerations and any conditions which the provider of the information might place upon the use or disclosure of the information, such as claims of legal professional privilege.</w:t>
      </w:r>
    </w:p>
    <w:p w14:paraId="5B2278C4" w14:textId="77777777" w:rsidR="00291E5E" w:rsidRPr="00291E5E" w:rsidRDefault="00291E5E" w:rsidP="001142F2">
      <w:pPr>
        <w:pStyle w:val="ListParagraph"/>
        <w:numPr>
          <w:ilvl w:val="1"/>
          <w:numId w:val="12"/>
        </w:numPr>
        <w:ind w:left="1134" w:hanging="774"/>
      </w:pPr>
      <w:r w:rsidRPr="00291E5E">
        <w:t>The parties will bear their own costs in relation to referred and requested matters outlined in this MOU.</w:t>
      </w:r>
    </w:p>
    <w:p w14:paraId="547FE1E6" w14:textId="4CB13810" w:rsidR="00291E5E" w:rsidRPr="00291E5E" w:rsidRDefault="00291E5E" w:rsidP="001142F2">
      <w:pPr>
        <w:pStyle w:val="ListParagraph"/>
        <w:numPr>
          <w:ilvl w:val="1"/>
          <w:numId w:val="12"/>
        </w:numPr>
        <w:ind w:left="1134" w:hanging="774"/>
      </w:pPr>
      <w:r w:rsidRPr="00291E5E">
        <w:t>The SCT will provide ASIC with copies of reports, media releases and other similar documents (other than documents specifically created for ASIC or for the purpose of a particular complaint) as soon as practicable after they are provided to a third party. ASIC will provide copies of policy statements and media releases relevant to the SCT</w:t>
      </w:r>
      <w:r w:rsidR="0050078B">
        <w:t>’</w:t>
      </w:r>
      <w:r w:rsidRPr="00291E5E">
        <w:t>s functions as soon as practicable after their release.</w:t>
      </w:r>
    </w:p>
    <w:p w14:paraId="259CDEE9" w14:textId="77777777" w:rsidR="00291E5E" w:rsidRPr="007B773D" w:rsidRDefault="00291E5E" w:rsidP="007B773D">
      <w:pPr>
        <w:pStyle w:val="ListParagraph"/>
        <w:keepNext/>
        <w:numPr>
          <w:ilvl w:val="0"/>
          <w:numId w:val="12"/>
        </w:numPr>
        <w:ind w:left="357" w:hanging="357"/>
        <w:rPr>
          <w:b/>
          <w:bCs/>
        </w:rPr>
      </w:pPr>
      <w:r w:rsidRPr="007B773D">
        <w:rPr>
          <w:b/>
          <w:bCs/>
        </w:rPr>
        <w:lastRenderedPageBreak/>
        <w:t>Referrals to ASIC</w:t>
      </w:r>
    </w:p>
    <w:p w14:paraId="0E206671" w14:textId="77777777" w:rsidR="00291E5E" w:rsidRPr="00291E5E" w:rsidRDefault="00291E5E" w:rsidP="001142F2">
      <w:pPr>
        <w:pStyle w:val="ListParagraph"/>
        <w:numPr>
          <w:ilvl w:val="1"/>
          <w:numId w:val="12"/>
        </w:numPr>
        <w:ind w:left="1134" w:hanging="774"/>
      </w:pPr>
      <w:r w:rsidRPr="00291E5E">
        <w:t>The SCT may refer to ASIC details of a settlement that it thinks may require investigation under subsection 31(2) of the SRC Act and the Tribunal Chairperson is obliged to report to ASIC the following matters under sections 64, 64A and 65 of the SRC Act:</w:t>
      </w:r>
    </w:p>
    <w:p w14:paraId="0C06AFB5" w14:textId="77777777" w:rsidR="00291E5E" w:rsidRPr="00291E5E" w:rsidRDefault="00291E5E" w:rsidP="001142F2">
      <w:pPr>
        <w:pStyle w:val="ListParagraph"/>
        <w:numPr>
          <w:ilvl w:val="0"/>
          <w:numId w:val="13"/>
        </w:numPr>
        <w:ind w:left="1494"/>
      </w:pPr>
      <w:r w:rsidRPr="00291E5E">
        <w:t>a contravention of any law or the governing rules of a fund that may have occurred;</w:t>
      </w:r>
    </w:p>
    <w:p w14:paraId="778F5E22" w14:textId="77777777" w:rsidR="00291E5E" w:rsidRPr="00291E5E" w:rsidRDefault="00291E5E" w:rsidP="001142F2">
      <w:pPr>
        <w:pStyle w:val="ListParagraph"/>
        <w:numPr>
          <w:ilvl w:val="0"/>
          <w:numId w:val="13"/>
        </w:numPr>
        <w:ind w:left="1494"/>
      </w:pPr>
      <w:r w:rsidRPr="00291E5E">
        <w:t>a breach in the terms and conditions relating to an annuity policy, or a retirement savings account; and</w:t>
      </w:r>
    </w:p>
    <w:p w14:paraId="521B4512" w14:textId="77777777" w:rsidR="00291E5E" w:rsidRPr="00291E5E" w:rsidRDefault="00291E5E" w:rsidP="001142F2">
      <w:pPr>
        <w:pStyle w:val="ListParagraph"/>
        <w:numPr>
          <w:ilvl w:val="0"/>
          <w:numId w:val="13"/>
        </w:numPr>
        <w:ind w:left="1494"/>
      </w:pPr>
      <w:r w:rsidRPr="00291E5E">
        <w:t>the refusal or failure of a party to a complaint to give effect to a determination made by the SCT.</w:t>
      </w:r>
    </w:p>
    <w:p w14:paraId="7B35B427" w14:textId="77777777" w:rsidR="00291E5E" w:rsidRPr="00291E5E" w:rsidRDefault="00291E5E" w:rsidP="001142F2">
      <w:pPr>
        <w:pStyle w:val="ListParagraph"/>
        <w:numPr>
          <w:ilvl w:val="1"/>
          <w:numId w:val="12"/>
        </w:numPr>
        <w:ind w:left="1134" w:hanging="774"/>
      </w:pPr>
      <w:r w:rsidRPr="00291E5E">
        <w:t>Referrals will be made as soon as practicable after the SCT or the Tribunal Chairperson, as the case may be, becomes aware of the contravention, possible contravention, breach or refusal or failure to give effect to a determination and in accordance with times and standards agreed with ASIC under separate operational procedures.</w:t>
      </w:r>
    </w:p>
    <w:p w14:paraId="564D3C98" w14:textId="77777777" w:rsidR="00291E5E" w:rsidRPr="00291E5E" w:rsidRDefault="00291E5E" w:rsidP="001142F2">
      <w:pPr>
        <w:pStyle w:val="ListParagraph"/>
        <w:numPr>
          <w:ilvl w:val="1"/>
          <w:numId w:val="12"/>
        </w:numPr>
        <w:ind w:left="1134" w:hanging="774"/>
      </w:pPr>
      <w:r w:rsidRPr="00291E5E">
        <w:t>The SCT acknowledges that ASIC will form its own opinion as to whether, on the basis of the information provided, it has reason to suspect a contravention of the legislation for which it has jurisdiction, or reason to take any regulatory action, and that ASIC cannot form any such opinions solely on the basis of any opinion of the SCT.</w:t>
      </w:r>
    </w:p>
    <w:p w14:paraId="6C1A79F1" w14:textId="77777777" w:rsidR="00291E5E" w:rsidRPr="00291E5E" w:rsidRDefault="00291E5E" w:rsidP="001142F2">
      <w:pPr>
        <w:pStyle w:val="ListParagraph"/>
        <w:numPr>
          <w:ilvl w:val="1"/>
          <w:numId w:val="12"/>
        </w:numPr>
        <w:ind w:left="1134" w:hanging="774"/>
      </w:pPr>
      <w:r w:rsidRPr="00291E5E">
        <w:t>Where the SCT believes that a particular person may have information which may assist ASIC in relation to a referral, the SCT may nominate that person as a possible source of additional information when making the referral.</w:t>
      </w:r>
    </w:p>
    <w:p w14:paraId="4EC513E0" w14:textId="77777777" w:rsidR="00291E5E" w:rsidRPr="00291E5E" w:rsidRDefault="00291E5E" w:rsidP="001142F2">
      <w:pPr>
        <w:pStyle w:val="ListParagraph"/>
        <w:numPr>
          <w:ilvl w:val="1"/>
          <w:numId w:val="12"/>
        </w:numPr>
        <w:ind w:left="1134" w:hanging="774"/>
      </w:pPr>
      <w:r w:rsidRPr="00291E5E">
        <w:t>After the commencement of any action in respect of a referred matter, ASIC will advise the SCT of the contact details of an officer to whom inquiries can be made by the Tribunal Chairperson or his appropriately authorised delegate.</w:t>
      </w:r>
    </w:p>
    <w:p w14:paraId="799865FE" w14:textId="093BCB32" w:rsidR="00291E5E" w:rsidRPr="00291E5E" w:rsidRDefault="00291E5E" w:rsidP="001142F2">
      <w:pPr>
        <w:pStyle w:val="ListParagraph"/>
        <w:numPr>
          <w:ilvl w:val="1"/>
          <w:numId w:val="12"/>
        </w:numPr>
        <w:ind w:left="1134" w:hanging="774"/>
      </w:pPr>
      <w:r w:rsidRPr="00291E5E">
        <w:t>Subject to any relevant law, ASIC will on completion of all action in relation to a particular referral, inform the SCT of the outcome of ASIC</w:t>
      </w:r>
      <w:r w:rsidR="0050078B">
        <w:t>’</w:t>
      </w:r>
      <w:r w:rsidRPr="00291E5E">
        <w:t>s actions.</w:t>
      </w:r>
    </w:p>
    <w:p w14:paraId="65C5E857" w14:textId="77777777" w:rsidR="00291E5E" w:rsidRPr="001142F2" w:rsidRDefault="00291E5E" w:rsidP="00B12301">
      <w:pPr>
        <w:pStyle w:val="ListParagraph"/>
        <w:numPr>
          <w:ilvl w:val="0"/>
          <w:numId w:val="12"/>
        </w:numPr>
        <w:rPr>
          <w:b/>
          <w:bCs/>
        </w:rPr>
      </w:pPr>
      <w:r w:rsidRPr="001142F2">
        <w:rPr>
          <w:b/>
          <w:bCs/>
        </w:rPr>
        <w:t>Requests by ASIC</w:t>
      </w:r>
    </w:p>
    <w:p w14:paraId="746F43F1" w14:textId="77777777" w:rsidR="00291E5E" w:rsidRPr="00291E5E" w:rsidRDefault="00291E5E" w:rsidP="001142F2">
      <w:pPr>
        <w:pStyle w:val="ListParagraph"/>
        <w:numPr>
          <w:ilvl w:val="1"/>
          <w:numId w:val="12"/>
        </w:numPr>
        <w:ind w:left="1134" w:hanging="774"/>
      </w:pPr>
      <w:r w:rsidRPr="00291E5E">
        <w:t>ASIC may request information or production of a document under subsection 63(3) of the SRC Act. The request:</w:t>
      </w:r>
    </w:p>
    <w:p w14:paraId="6B8E7BCB" w14:textId="77777777" w:rsidR="00291E5E" w:rsidRPr="00291E5E" w:rsidRDefault="00291E5E" w:rsidP="001142F2">
      <w:pPr>
        <w:pStyle w:val="ListParagraph"/>
        <w:numPr>
          <w:ilvl w:val="0"/>
          <w:numId w:val="14"/>
        </w:numPr>
        <w:ind w:left="1494"/>
      </w:pPr>
      <w:r w:rsidRPr="00291E5E">
        <w:t>will be made in a written form and in accordance with such operational procedures as may be agreed from time to time between ASIC and the SCT; and</w:t>
      </w:r>
    </w:p>
    <w:p w14:paraId="543015B4" w14:textId="77777777" w:rsidR="00291E5E" w:rsidRPr="00291E5E" w:rsidRDefault="00291E5E" w:rsidP="001142F2">
      <w:pPr>
        <w:pStyle w:val="ListParagraph"/>
        <w:numPr>
          <w:ilvl w:val="0"/>
          <w:numId w:val="14"/>
        </w:numPr>
        <w:ind w:left="1494"/>
      </w:pPr>
      <w:r w:rsidRPr="00291E5E">
        <w:t>will be signed either by:</w:t>
      </w:r>
    </w:p>
    <w:p w14:paraId="53BD7713" w14:textId="77777777" w:rsidR="00291E5E" w:rsidRPr="00291E5E" w:rsidRDefault="00291E5E" w:rsidP="001142F2">
      <w:pPr>
        <w:pStyle w:val="ListParagraph"/>
        <w:numPr>
          <w:ilvl w:val="0"/>
          <w:numId w:val="15"/>
        </w:numPr>
        <w:ind w:left="2268"/>
      </w:pPr>
      <w:r w:rsidRPr="00291E5E">
        <w:t>the National Director, Regulations, or</w:t>
      </w:r>
    </w:p>
    <w:p w14:paraId="268E0831" w14:textId="77777777" w:rsidR="00291E5E" w:rsidRPr="00291E5E" w:rsidRDefault="00291E5E" w:rsidP="001142F2">
      <w:pPr>
        <w:pStyle w:val="ListParagraph"/>
        <w:numPr>
          <w:ilvl w:val="0"/>
          <w:numId w:val="15"/>
        </w:numPr>
        <w:ind w:left="2268"/>
      </w:pPr>
      <w:r w:rsidRPr="00291E5E">
        <w:t>the Program Manager, Corporate Finance and Managed Funds, or</w:t>
      </w:r>
    </w:p>
    <w:p w14:paraId="31DD160B" w14:textId="77777777" w:rsidR="00291E5E" w:rsidRPr="00291E5E" w:rsidRDefault="00291E5E" w:rsidP="001142F2">
      <w:pPr>
        <w:pStyle w:val="ListParagraph"/>
        <w:numPr>
          <w:ilvl w:val="0"/>
          <w:numId w:val="15"/>
        </w:numPr>
        <w:ind w:left="2268"/>
      </w:pPr>
      <w:r w:rsidRPr="00291E5E">
        <w:lastRenderedPageBreak/>
        <w:t>such other person as may be advised in writing by the Program Manager, Corporate Finance and Managed Funds or by the National Director, Regulation.</w:t>
      </w:r>
    </w:p>
    <w:p w14:paraId="09A38076" w14:textId="77777777" w:rsidR="00291E5E" w:rsidRPr="00291E5E" w:rsidRDefault="00291E5E" w:rsidP="001142F2">
      <w:pPr>
        <w:pStyle w:val="ListParagraph"/>
        <w:numPr>
          <w:ilvl w:val="1"/>
          <w:numId w:val="12"/>
        </w:numPr>
        <w:ind w:left="1134" w:hanging="774"/>
      </w:pPr>
      <w:r w:rsidRPr="00291E5E">
        <w:t>Any requests by ASIC under subsection 63(3) of the SRC Act will be kept confidential by the SCT, subject to any relevant law.</w:t>
      </w:r>
    </w:p>
    <w:p w14:paraId="6083E7E3" w14:textId="77777777" w:rsidR="00291E5E" w:rsidRPr="00291E5E" w:rsidRDefault="00291E5E" w:rsidP="001142F2">
      <w:pPr>
        <w:pStyle w:val="ListParagraph"/>
        <w:numPr>
          <w:ilvl w:val="1"/>
          <w:numId w:val="12"/>
        </w:numPr>
        <w:ind w:left="1134" w:hanging="774"/>
      </w:pPr>
      <w:r w:rsidRPr="00291E5E">
        <w:t xml:space="preserve">ASIC acknowledges that information and documents provided by the SCT under section 63 of the SRC Act will be subject to the provisions of section 127 of the </w:t>
      </w:r>
      <w:r w:rsidRPr="00B12301">
        <w:rPr>
          <w:i/>
        </w:rPr>
        <w:t>ASIC Act 1989</w:t>
      </w:r>
      <w:r w:rsidRPr="00291E5E">
        <w:t>.</w:t>
      </w:r>
    </w:p>
    <w:p w14:paraId="737ED7E0" w14:textId="77777777" w:rsidR="00291E5E" w:rsidRPr="001142F2" w:rsidRDefault="00291E5E" w:rsidP="00B12301">
      <w:pPr>
        <w:pStyle w:val="ListParagraph"/>
        <w:numPr>
          <w:ilvl w:val="0"/>
          <w:numId w:val="12"/>
        </w:numPr>
        <w:rPr>
          <w:b/>
          <w:bCs/>
        </w:rPr>
      </w:pPr>
      <w:r w:rsidRPr="001142F2">
        <w:rPr>
          <w:b/>
          <w:bCs/>
        </w:rPr>
        <w:t>Referrals to the SCT</w:t>
      </w:r>
    </w:p>
    <w:p w14:paraId="642C9652" w14:textId="77777777" w:rsidR="00291E5E" w:rsidRPr="00291E5E" w:rsidRDefault="00291E5E" w:rsidP="001142F2">
      <w:pPr>
        <w:pStyle w:val="ListParagraph"/>
        <w:numPr>
          <w:ilvl w:val="1"/>
          <w:numId w:val="12"/>
        </w:numPr>
        <w:ind w:left="1134" w:hanging="774"/>
      </w:pPr>
      <w:r w:rsidRPr="00291E5E">
        <w:t>Complaints within the jurisdiction of the SCT may be referred by ASIC to the SCT (by the Financial Complaints Referral Centre (FCRC) or otherwise) in accordance with operating procedures agreed between the parties.</w:t>
      </w:r>
    </w:p>
    <w:p w14:paraId="2F12374B" w14:textId="77777777" w:rsidR="00291E5E" w:rsidRPr="001142F2" w:rsidRDefault="00291E5E" w:rsidP="00B12301">
      <w:pPr>
        <w:pStyle w:val="ListParagraph"/>
        <w:numPr>
          <w:ilvl w:val="0"/>
          <w:numId w:val="12"/>
        </w:numPr>
        <w:rPr>
          <w:b/>
          <w:bCs/>
        </w:rPr>
      </w:pPr>
      <w:r w:rsidRPr="001142F2">
        <w:rPr>
          <w:b/>
          <w:bCs/>
        </w:rPr>
        <w:t>Confidentiality</w:t>
      </w:r>
    </w:p>
    <w:p w14:paraId="68E0020C" w14:textId="77777777" w:rsidR="00291E5E" w:rsidRPr="00291E5E" w:rsidRDefault="00291E5E" w:rsidP="001142F2">
      <w:pPr>
        <w:pStyle w:val="ListParagraph"/>
        <w:numPr>
          <w:ilvl w:val="1"/>
          <w:numId w:val="12"/>
        </w:numPr>
        <w:ind w:left="1134" w:hanging="774"/>
      </w:pPr>
      <w:r w:rsidRPr="00291E5E">
        <w:t>When one party receives information from the other party in accordance with this MOU, it will take all reasonable steps to ensure that the information is dealt with in accordance with applicable laws and consistently with the purposes for which it was obtained, or as otherwise authorized by the other party. In such case the parties must keep each other fully informed.</w:t>
      </w:r>
    </w:p>
    <w:p w14:paraId="58AA798B" w14:textId="77777777" w:rsidR="00291E5E" w:rsidRPr="001142F2" w:rsidRDefault="00291E5E" w:rsidP="00B12301">
      <w:pPr>
        <w:pStyle w:val="ListParagraph"/>
        <w:numPr>
          <w:ilvl w:val="0"/>
          <w:numId w:val="12"/>
        </w:numPr>
        <w:rPr>
          <w:b/>
          <w:bCs/>
        </w:rPr>
      </w:pPr>
      <w:r w:rsidRPr="001142F2">
        <w:rPr>
          <w:b/>
          <w:bCs/>
        </w:rPr>
        <w:t>Liaison between the Parties</w:t>
      </w:r>
    </w:p>
    <w:p w14:paraId="1F05BAB7" w14:textId="77777777" w:rsidR="00291E5E" w:rsidRPr="00291E5E" w:rsidRDefault="00291E5E" w:rsidP="001142F2">
      <w:pPr>
        <w:pStyle w:val="ListParagraph"/>
        <w:numPr>
          <w:ilvl w:val="1"/>
          <w:numId w:val="12"/>
        </w:numPr>
        <w:ind w:left="1134" w:hanging="774"/>
      </w:pPr>
      <w:r w:rsidRPr="00291E5E">
        <w:t>The parties agree that there will be regular liaison:</w:t>
      </w:r>
    </w:p>
    <w:p w14:paraId="39D8C391" w14:textId="77777777" w:rsidR="00291E5E" w:rsidRPr="00291E5E" w:rsidRDefault="00291E5E" w:rsidP="001142F2">
      <w:pPr>
        <w:pStyle w:val="ListParagraph"/>
        <w:numPr>
          <w:ilvl w:val="0"/>
          <w:numId w:val="16"/>
        </w:numPr>
        <w:ind w:left="1494"/>
      </w:pPr>
      <w:r w:rsidRPr="00291E5E">
        <w:t>at least annually between the Chairman of ASIC and the Tribunal Chairperson in relation to matters of common interest,</w:t>
      </w:r>
    </w:p>
    <w:p w14:paraId="4BD35749" w14:textId="77777777" w:rsidR="00291E5E" w:rsidRPr="00291E5E" w:rsidRDefault="00291E5E" w:rsidP="001142F2">
      <w:pPr>
        <w:pStyle w:val="ListParagraph"/>
        <w:numPr>
          <w:ilvl w:val="0"/>
          <w:numId w:val="16"/>
        </w:numPr>
        <w:ind w:left="1494"/>
      </w:pPr>
      <w:r w:rsidRPr="00291E5E">
        <w:t>at least once every two months between relationship managers as appointed by the parties from time to time, in relation to more immediate operational matters which may arise under this MOU, and</w:t>
      </w:r>
    </w:p>
    <w:p w14:paraId="05C85B8C" w14:textId="73386847" w:rsidR="00291E5E" w:rsidRPr="00291E5E" w:rsidRDefault="00291E5E" w:rsidP="001142F2">
      <w:pPr>
        <w:pStyle w:val="ListParagraph"/>
        <w:numPr>
          <w:ilvl w:val="0"/>
          <w:numId w:val="16"/>
        </w:numPr>
        <w:ind w:left="1494"/>
      </w:pPr>
      <w:r w:rsidRPr="00291E5E">
        <w:t xml:space="preserve">on an </w:t>
      </w:r>
      <w:r w:rsidR="0050078B">
        <w:t>“</w:t>
      </w:r>
      <w:r w:rsidRPr="00291E5E">
        <w:t>as needed</w:t>
      </w:r>
      <w:r w:rsidR="0050078B">
        <w:t>”</w:t>
      </w:r>
      <w:r w:rsidRPr="00291E5E">
        <w:t xml:space="preserve"> basis between contact officers specified in the operating procedures and service level agreement in relation to matters arising in respect of ASIC</w:t>
      </w:r>
      <w:r w:rsidR="0050078B">
        <w:t>’</w:t>
      </w:r>
      <w:r w:rsidRPr="00291E5E">
        <w:t>s responsibilities to make available staff and facilities to the SCT under the SRC Act.</w:t>
      </w:r>
    </w:p>
    <w:p w14:paraId="509CDE6E" w14:textId="77777777" w:rsidR="00291E5E" w:rsidRPr="001142F2" w:rsidRDefault="00291E5E" w:rsidP="00B12301">
      <w:pPr>
        <w:pStyle w:val="ListParagraph"/>
        <w:numPr>
          <w:ilvl w:val="0"/>
          <w:numId w:val="12"/>
        </w:numPr>
        <w:rPr>
          <w:b/>
          <w:bCs/>
        </w:rPr>
      </w:pPr>
      <w:r w:rsidRPr="001142F2">
        <w:rPr>
          <w:b/>
          <w:bCs/>
        </w:rPr>
        <w:t>Objective</w:t>
      </w:r>
    </w:p>
    <w:p w14:paraId="2D0E0BFC" w14:textId="77777777" w:rsidR="00291E5E" w:rsidRPr="00291E5E" w:rsidRDefault="00291E5E" w:rsidP="001142F2">
      <w:pPr>
        <w:pStyle w:val="ListParagraph"/>
        <w:numPr>
          <w:ilvl w:val="1"/>
          <w:numId w:val="12"/>
        </w:numPr>
        <w:ind w:left="1134" w:hanging="774"/>
      </w:pPr>
      <w:r w:rsidRPr="00291E5E">
        <w:t xml:space="preserve">Staff required to assist the Tribunal in the performance of its functions are appointed or employed by ASIC under the </w:t>
      </w:r>
      <w:r w:rsidRPr="00B12301">
        <w:rPr>
          <w:i/>
        </w:rPr>
        <w:t>Public Service Act 1922</w:t>
      </w:r>
      <w:r w:rsidRPr="00291E5E">
        <w:t xml:space="preserve"> and are answerable to the Tribunal Chairperson. They are subject to ASIC human resources policies, as determined by ASIC from time to time.</w:t>
      </w:r>
    </w:p>
    <w:p w14:paraId="0EEE9D37" w14:textId="0CE4B544" w:rsidR="00291E5E" w:rsidRPr="00291E5E" w:rsidRDefault="00291E5E" w:rsidP="001142F2">
      <w:pPr>
        <w:pStyle w:val="ListParagraph"/>
        <w:numPr>
          <w:ilvl w:val="1"/>
          <w:numId w:val="12"/>
        </w:numPr>
        <w:ind w:left="1134" w:hanging="774"/>
      </w:pPr>
      <w:r w:rsidRPr="00291E5E">
        <w:t>ASIC will also make available certain facilities to support the SCT</w:t>
      </w:r>
      <w:r w:rsidR="0050078B">
        <w:t>’</w:t>
      </w:r>
      <w:r w:rsidRPr="00291E5E">
        <w:t>s functions within terms of a service level agreement to be agreed between ASIC and the SCT and reviewed in conjunction with the annual determination of the SCT</w:t>
      </w:r>
      <w:r w:rsidR="0050078B">
        <w:t>’</w:t>
      </w:r>
      <w:r w:rsidRPr="00291E5E">
        <w:t>s budget allocation.</w:t>
      </w:r>
    </w:p>
    <w:p w14:paraId="7311F236" w14:textId="5AB7DB2B" w:rsidR="00291E5E" w:rsidRPr="00291E5E" w:rsidRDefault="00291E5E" w:rsidP="001142F2">
      <w:pPr>
        <w:pStyle w:val="ListParagraph"/>
        <w:numPr>
          <w:ilvl w:val="1"/>
          <w:numId w:val="12"/>
        </w:numPr>
        <w:ind w:left="1134" w:hanging="774"/>
      </w:pPr>
      <w:r w:rsidRPr="00291E5E">
        <w:lastRenderedPageBreak/>
        <w:t>The SCT is funded from the same budget allocation as ASIC. The SCT budget preparation, allocation and, where appropriate, review, will be carried out in conjunction with ASIC</w:t>
      </w:r>
      <w:r w:rsidR="0050078B">
        <w:t>’</w:t>
      </w:r>
      <w:r w:rsidRPr="00291E5E">
        <w:t>s procedures, as determined from time to time.</w:t>
      </w:r>
    </w:p>
    <w:p w14:paraId="38E413C4" w14:textId="77777777" w:rsidR="00291E5E" w:rsidRPr="001142F2" w:rsidRDefault="00291E5E" w:rsidP="00B12301">
      <w:pPr>
        <w:pStyle w:val="ListParagraph"/>
        <w:numPr>
          <w:ilvl w:val="0"/>
          <w:numId w:val="12"/>
        </w:numPr>
        <w:rPr>
          <w:b/>
          <w:bCs/>
        </w:rPr>
      </w:pPr>
      <w:r w:rsidRPr="001142F2">
        <w:rPr>
          <w:b/>
          <w:bCs/>
        </w:rPr>
        <w:t>Disputes</w:t>
      </w:r>
    </w:p>
    <w:p w14:paraId="20D71195" w14:textId="77777777" w:rsidR="00291E5E" w:rsidRPr="00291E5E" w:rsidRDefault="00291E5E" w:rsidP="001142F2">
      <w:pPr>
        <w:pStyle w:val="ListParagraph"/>
        <w:numPr>
          <w:ilvl w:val="1"/>
          <w:numId w:val="12"/>
        </w:numPr>
        <w:ind w:left="1134" w:hanging="774"/>
      </w:pPr>
      <w:r w:rsidRPr="00291E5E">
        <w:t>Where there is dispute over any matter dealt with in this MOU, the parties will seek to resolve the issue by negotiation between the National Director, Regulation and the Tribunal Chairperson. If resolution cannot be achieved, then negotiation will be between the Tribunal Chairperson and the ASIC Chairman.</w:t>
      </w:r>
    </w:p>
    <w:p w14:paraId="6D83FF9C" w14:textId="77777777" w:rsidR="00291E5E" w:rsidRPr="001142F2" w:rsidRDefault="00291E5E" w:rsidP="00B12301">
      <w:pPr>
        <w:pStyle w:val="ListParagraph"/>
        <w:numPr>
          <w:ilvl w:val="0"/>
          <w:numId w:val="12"/>
        </w:numPr>
        <w:rPr>
          <w:b/>
          <w:bCs/>
        </w:rPr>
      </w:pPr>
      <w:r w:rsidRPr="001142F2">
        <w:rPr>
          <w:b/>
          <w:bCs/>
        </w:rPr>
        <w:t>Review of the MOU</w:t>
      </w:r>
    </w:p>
    <w:p w14:paraId="7BF1FCAE" w14:textId="77777777" w:rsidR="00291E5E" w:rsidRPr="00291E5E" w:rsidRDefault="00291E5E" w:rsidP="001142F2">
      <w:pPr>
        <w:pStyle w:val="ListParagraph"/>
        <w:numPr>
          <w:ilvl w:val="1"/>
          <w:numId w:val="12"/>
        </w:numPr>
        <w:ind w:left="1134" w:hanging="774"/>
      </w:pPr>
      <w:r w:rsidRPr="00291E5E">
        <w:t>The parties will keep the operation of this MOU under continual review and will consult with each other with a view to improving its operation and resolving any matters which may arise.</w:t>
      </w:r>
    </w:p>
    <w:p w14:paraId="3D712231" w14:textId="77777777" w:rsidR="00291E5E" w:rsidRPr="001142F2" w:rsidRDefault="00291E5E" w:rsidP="00B12301">
      <w:pPr>
        <w:pStyle w:val="ListParagraph"/>
        <w:numPr>
          <w:ilvl w:val="0"/>
          <w:numId w:val="12"/>
        </w:numPr>
        <w:rPr>
          <w:b/>
          <w:bCs/>
        </w:rPr>
      </w:pPr>
      <w:r w:rsidRPr="001142F2">
        <w:rPr>
          <w:b/>
          <w:bCs/>
        </w:rPr>
        <w:t>Termination</w:t>
      </w:r>
    </w:p>
    <w:p w14:paraId="38398546" w14:textId="2D8E001D" w:rsidR="00291E5E" w:rsidRDefault="00291E5E" w:rsidP="001142F2">
      <w:pPr>
        <w:pStyle w:val="ListParagraph"/>
        <w:numPr>
          <w:ilvl w:val="1"/>
          <w:numId w:val="12"/>
        </w:numPr>
        <w:ind w:left="1134" w:hanging="774"/>
      </w:pPr>
      <w:r w:rsidRPr="00291E5E">
        <w:t>A party may only terminate this MOU by written notice. The MOU will terminate 45</w:t>
      </w:r>
      <w:r w:rsidR="001142F2">
        <w:t> </w:t>
      </w:r>
      <w:r w:rsidRPr="00291E5E">
        <w:t>days after the date upon which such notice is received by the other party.</w:t>
      </w:r>
    </w:p>
    <w:p w14:paraId="17DC5DFD" w14:textId="38DE8F79" w:rsidR="001142F2" w:rsidRDefault="001142F2" w:rsidP="001142F2"/>
    <w:p w14:paraId="4D32DF23" w14:textId="77777777" w:rsidR="001142F2" w:rsidRPr="00291E5E" w:rsidRDefault="001142F2" w:rsidP="001142F2"/>
    <w:p w14:paraId="11BA8F3F" w14:textId="406962D8" w:rsidR="00291E5E" w:rsidRDefault="00291E5E" w:rsidP="00B12301">
      <w:r w:rsidRPr="00291E5E">
        <w:t>Dated this ……6th......day of……MAY……1999</w:t>
      </w:r>
    </w:p>
    <w:p w14:paraId="2601D036" w14:textId="77777777" w:rsidR="001142F2" w:rsidRPr="00291E5E" w:rsidRDefault="001142F2" w:rsidP="00B12301"/>
    <w:p w14:paraId="143A7492" w14:textId="77777777" w:rsidR="00291E5E" w:rsidRPr="001142F2" w:rsidRDefault="00291E5E" w:rsidP="00B12301">
      <w:pPr>
        <w:rPr>
          <w:b/>
          <w:bCs/>
        </w:rPr>
      </w:pPr>
      <w:r w:rsidRPr="001142F2">
        <w:rPr>
          <w:b/>
          <w:bCs/>
        </w:rPr>
        <w:t>A Cameron</w:t>
      </w:r>
    </w:p>
    <w:p w14:paraId="2196C93A" w14:textId="77777777" w:rsidR="00291E5E" w:rsidRPr="00291E5E" w:rsidRDefault="00291E5E" w:rsidP="00B12301">
      <w:r w:rsidRPr="00291E5E">
        <w:t>(then Chairman)</w:t>
      </w:r>
    </w:p>
    <w:p w14:paraId="30B274C9" w14:textId="2E9D8175" w:rsidR="00291E5E" w:rsidRDefault="00291E5E" w:rsidP="00B12301">
      <w:r w:rsidRPr="00291E5E">
        <w:t>Australian Securities and Investments Commission</w:t>
      </w:r>
    </w:p>
    <w:p w14:paraId="6B7C372C" w14:textId="77777777" w:rsidR="001142F2" w:rsidRPr="00291E5E" w:rsidRDefault="001142F2" w:rsidP="00B12301"/>
    <w:p w14:paraId="628BD365" w14:textId="77777777" w:rsidR="00291E5E" w:rsidRPr="001142F2" w:rsidRDefault="00291E5E" w:rsidP="00B12301">
      <w:pPr>
        <w:rPr>
          <w:b/>
          <w:bCs/>
        </w:rPr>
      </w:pPr>
      <w:r w:rsidRPr="001142F2">
        <w:rPr>
          <w:b/>
          <w:bCs/>
        </w:rPr>
        <w:t>Neil Wilkinson</w:t>
      </w:r>
    </w:p>
    <w:p w14:paraId="2939A9C0" w14:textId="77777777" w:rsidR="00291E5E" w:rsidRPr="00291E5E" w:rsidRDefault="00291E5E" w:rsidP="00B12301">
      <w:r w:rsidRPr="00291E5E">
        <w:t>(then Chairperson)</w:t>
      </w:r>
    </w:p>
    <w:p w14:paraId="2431FF59" w14:textId="77777777" w:rsidR="00291E5E" w:rsidRPr="00291E5E" w:rsidRDefault="00291E5E" w:rsidP="00B12301">
      <w:r w:rsidRPr="00291E5E">
        <w:t>Superannuation Complaints Tribunal</w:t>
      </w:r>
    </w:p>
    <w:p w14:paraId="66E5AE15" w14:textId="77777777" w:rsidR="00291E5E" w:rsidRPr="00291E5E" w:rsidRDefault="00291E5E" w:rsidP="00B12301">
      <w:pPr>
        <w:rPr>
          <w:rFonts w:ascii="Arial" w:hAnsi="Arial" w:cs="Arial"/>
        </w:rPr>
      </w:pPr>
      <w:r w:rsidRPr="00291E5E">
        <w:br w:type="page"/>
      </w:r>
    </w:p>
    <w:p w14:paraId="14545C5C" w14:textId="4F84978F" w:rsidR="00291E5E" w:rsidRPr="00291E5E" w:rsidRDefault="00291E5E" w:rsidP="00D579F2">
      <w:pPr>
        <w:pStyle w:val="ARH2-Bodycopyheadinglevel1"/>
      </w:pPr>
      <w:r w:rsidRPr="00291E5E">
        <w:lastRenderedPageBreak/>
        <w:t xml:space="preserve">Appendix 3.0 </w:t>
      </w:r>
      <w:r w:rsidRPr="00291E5E">
        <w:tab/>
        <w:t>Service Charter</w:t>
      </w:r>
    </w:p>
    <w:p w14:paraId="44B4CD59" w14:textId="77777777" w:rsidR="00291E5E" w:rsidRPr="00291E5E" w:rsidRDefault="00291E5E" w:rsidP="00B12301">
      <w:r w:rsidRPr="00291E5E">
        <w:t>This charter sets out the standard of service you can expect from us and what we expect from you.</w:t>
      </w:r>
    </w:p>
    <w:p w14:paraId="6736A02D" w14:textId="3CCBF17F" w:rsidR="00291E5E" w:rsidRPr="00291E5E" w:rsidRDefault="00291E5E" w:rsidP="00D579F2">
      <w:pPr>
        <w:pStyle w:val="ARH3-Bodycopyheadinglevel1"/>
      </w:pPr>
      <w:r w:rsidRPr="00291E5E">
        <w:t>Our objective</w:t>
      </w:r>
    </w:p>
    <w:p w14:paraId="35ABDE2D" w14:textId="77777777" w:rsidR="00291E5E" w:rsidRPr="00291E5E" w:rsidRDefault="00291E5E" w:rsidP="00B12301">
      <w:r w:rsidRPr="00291E5E">
        <w:t>To inquire into and resolve superannuation related complaints in a manner that is fair, economical, informal, and quick.</w:t>
      </w:r>
    </w:p>
    <w:p w14:paraId="1D77398B" w14:textId="77777777" w:rsidR="00291E5E" w:rsidRPr="00291E5E" w:rsidRDefault="00291E5E" w:rsidP="00B12301">
      <w:r w:rsidRPr="00291E5E">
        <w:t xml:space="preserve">To achieve this objective we will: </w:t>
      </w:r>
    </w:p>
    <w:p w14:paraId="01E75122" w14:textId="77777777" w:rsidR="00291E5E" w:rsidRPr="00291E5E" w:rsidRDefault="00291E5E" w:rsidP="00B12301">
      <w:pPr>
        <w:pStyle w:val="ARBulletListL1"/>
      </w:pPr>
      <w:r w:rsidRPr="00291E5E">
        <w:t xml:space="preserve">deliver high quality service to complainants and the superannuation industry </w:t>
      </w:r>
    </w:p>
    <w:p w14:paraId="22202B58" w14:textId="77777777" w:rsidR="00291E5E" w:rsidRPr="00291E5E" w:rsidRDefault="00291E5E" w:rsidP="00B12301">
      <w:pPr>
        <w:pStyle w:val="ARBulletListL1"/>
      </w:pPr>
      <w:r w:rsidRPr="00291E5E">
        <w:t xml:space="preserve">seek fair outcomes </w:t>
      </w:r>
    </w:p>
    <w:p w14:paraId="472B85F8" w14:textId="77777777" w:rsidR="00291E5E" w:rsidRPr="00291E5E" w:rsidRDefault="00291E5E" w:rsidP="00B12301">
      <w:pPr>
        <w:pStyle w:val="ARBulletListL1"/>
      </w:pPr>
      <w:r w:rsidRPr="00291E5E">
        <w:t>make our service accessible to the community.</w:t>
      </w:r>
    </w:p>
    <w:p w14:paraId="6BBF5202" w14:textId="2CBC767A" w:rsidR="00291E5E" w:rsidRPr="00291E5E" w:rsidRDefault="00291E5E" w:rsidP="00D579F2">
      <w:pPr>
        <w:pStyle w:val="ARH3-Bodycopyheadinglevel1"/>
      </w:pPr>
      <w:r w:rsidRPr="00291E5E">
        <w:t>The Tribunal</w:t>
      </w:r>
      <w:r w:rsidR="0050078B">
        <w:t>’</w:t>
      </w:r>
      <w:r w:rsidRPr="00291E5E">
        <w:t>s role</w:t>
      </w:r>
    </w:p>
    <w:p w14:paraId="25BA0B8B" w14:textId="77777777" w:rsidR="00291E5E" w:rsidRPr="00291E5E" w:rsidRDefault="00291E5E" w:rsidP="00B12301">
      <w:r w:rsidRPr="00291E5E">
        <w:t>The Tribunal will impartially inquire into complaints about decisions made by superannuation providers.</w:t>
      </w:r>
    </w:p>
    <w:p w14:paraId="6D598DDD" w14:textId="3D6A92F2" w:rsidR="00291E5E" w:rsidRPr="00291E5E" w:rsidRDefault="00291E5E" w:rsidP="00B12301">
      <w:r w:rsidRPr="00291E5E">
        <w:t xml:space="preserve">In this charter, the term </w:t>
      </w:r>
      <w:r w:rsidR="0050078B">
        <w:t>‘</w:t>
      </w:r>
      <w:r w:rsidRPr="00291E5E">
        <w:t>superannuation providers</w:t>
      </w:r>
      <w:r w:rsidR="0050078B">
        <w:t>’</w:t>
      </w:r>
      <w:r w:rsidRPr="00291E5E">
        <w:t xml:space="preserve"> includes: </w:t>
      </w:r>
    </w:p>
    <w:p w14:paraId="1FA4443C" w14:textId="77777777" w:rsidR="00291E5E" w:rsidRPr="00291E5E" w:rsidRDefault="00291E5E" w:rsidP="00B12301">
      <w:pPr>
        <w:pStyle w:val="ARBulletListL1"/>
      </w:pPr>
      <w:r w:rsidRPr="00291E5E">
        <w:t xml:space="preserve">trustees of regulated superannuation funds and approved deposit funds </w:t>
      </w:r>
    </w:p>
    <w:p w14:paraId="7BDA6977" w14:textId="77777777" w:rsidR="00291E5E" w:rsidRPr="00291E5E" w:rsidRDefault="00291E5E" w:rsidP="00B12301">
      <w:pPr>
        <w:pStyle w:val="ARBulletListL1"/>
      </w:pPr>
      <w:r w:rsidRPr="00291E5E">
        <w:t xml:space="preserve">retirement savings account providers (RSAs) </w:t>
      </w:r>
    </w:p>
    <w:p w14:paraId="050CF8DD" w14:textId="77777777" w:rsidR="00291E5E" w:rsidRPr="00291E5E" w:rsidRDefault="00291E5E" w:rsidP="00B12301">
      <w:pPr>
        <w:pStyle w:val="ARBulletListL1"/>
      </w:pPr>
      <w:r w:rsidRPr="00291E5E">
        <w:t>life companies providing annuity policies.</w:t>
      </w:r>
    </w:p>
    <w:p w14:paraId="5DB3E8DC" w14:textId="77777777" w:rsidR="00291E5E" w:rsidRPr="00291E5E" w:rsidRDefault="00291E5E" w:rsidP="00B12301">
      <w:r w:rsidRPr="00291E5E">
        <w:t>Where possible, the Tribunal will try to resolve a complaint by conciliation. If conciliation is unsuccessful the matter will be referred to review for a determination.</w:t>
      </w:r>
    </w:p>
    <w:p w14:paraId="59F93110" w14:textId="77777777" w:rsidR="00291E5E" w:rsidRPr="00291E5E" w:rsidRDefault="00291E5E" w:rsidP="00B12301">
      <w:r w:rsidRPr="00291E5E">
        <w:t>On review the Tribunal will determine whether the decision or conduct complaints about operated unfairly or unreasonably in relation to you in the circumstances. This will focus on the consequence or outcome of the decision in its practical operation and any loss or detriment arising.</w:t>
      </w:r>
    </w:p>
    <w:p w14:paraId="47DC174B" w14:textId="1F10B033" w:rsidR="00291E5E" w:rsidRPr="00291E5E" w:rsidRDefault="00291E5E" w:rsidP="00D579F2">
      <w:pPr>
        <w:pStyle w:val="ARH3-Bodycopyheadinglevel1"/>
      </w:pPr>
      <w:r w:rsidRPr="00291E5E">
        <w:t>Our undertaking to you</w:t>
      </w:r>
    </w:p>
    <w:p w14:paraId="617661F9" w14:textId="77777777" w:rsidR="00291E5E" w:rsidRPr="00291E5E" w:rsidRDefault="00291E5E" w:rsidP="00B12301">
      <w:r w:rsidRPr="00291E5E">
        <w:t>If you have a complaint about a decision made by a trustee or life company in the circumstances described above, we will give it careful attention. We will do whatever we can to help you within our powers and resources.</w:t>
      </w:r>
    </w:p>
    <w:p w14:paraId="15998379" w14:textId="77777777" w:rsidR="00291E5E" w:rsidRPr="00291E5E" w:rsidRDefault="00291E5E" w:rsidP="00B12301">
      <w:r w:rsidRPr="00291E5E">
        <w:t>If it is something we can and should deal with, we will do this as quickly as possible, acting fairly and independently.</w:t>
      </w:r>
    </w:p>
    <w:p w14:paraId="3D556FA8" w14:textId="77777777" w:rsidR="00291E5E" w:rsidRPr="00291E5E" w:rsidRDefault="00291E5E" w:rsidP="00B12301">
      <w:r w:rsidRPr="00291E5E">
        <w:t>If we cannot deal with your complaint, we will explain why. If we can suggest another way to solve your problem, we will tell you.</w:t>
      </w:r>
    </w:p>
    <w:p w14:paraId="11A94A70" w14:textId="6F982AE2" w:rsidR="00291E5E" w:rsidRPr="00291E5E" w:rsidRDefault="00291E5E" w:rsidP="00D579F2">
      <w:pPr>
        <w:pStyle w:val="ARH3-Bodycopyheadinglevel1"/>
      </w:pPr>
      <w:r w:rsidRPr="00291E5E">
        <w:lastRenderedPageBreak/>
        <w:t xml:space="preserve">What you can expect from us </w:t>
      </w:r>
    </w:p>
    <w:p w14:paraId="26996C54" w14:textId="50D93C97" w:rsidR="00291E5E" w:rsidRPr="00291E5E" w:rsidRDefault="00291E5E" w:rsidP="001142F2">
      <w:pPr>
        <w:pStyle w:val="ARBulletListL1"/>
        <w:spacing w:before="240"/>
      </w:pPr>
      <w:r w:rsidRPr="00291E5E">
        <w:t>a fee</w:t>
      </w:r>
      <w:r w:rsidR="0050078B">
        <w:noBreakHyphen/>
      </w:r>
      <w:r w:rsidRPr="00291E5E">
        <w:t xml:space="preserve">free service </w:t>
      </w:r>
    </w:p>
    <w:p w14:paraId="66DD8A7C" w14:textId="77777777" w:rsidR="00291E5E" w:rsidRPr="00291E5E" w:rsidRDefault="00291E5E" w:rsidP="001142F2">
      <w:pPr>
        <w:pStyle w:val="ARBulletListL1"/>
      </w:pPr>
      <w:r w:rsidRPr="00291E5E">
        <w:t xml:space="preserve">courteous, polite attention </w:t>
      </w:r>
    </w:p>
    <w:p w14:paraId="5C16AB2F" w14:textId="77777777" w:rsidR="00291E5E" w:rsidRPr="00291E5E" w:rsidRDefault="00291E5E" w:rsidP="001142F2">
      <w:pPr>
        <w:pStyle w:val="ARBulletListL1"/>
      </w:pPr>
      <w:r w:rsidRPr="00291E5E">
        <w:t xml:space="preserve">assistance in making a complaint </w:t>
      </w:r>
    </w:p>
    <w:p w14:paraId="6CB218BE" w14:textId="77777777" w:rsidR="00291E5E" w:rsidRPr="00291E5E" w:rsidRDefault="00291E5E" w:rsidP="001142F2">
      <w:pPr>
        <w:pStyle w:val="ARBulletListL1"/>
      </w:pPr>
      <w:r w:rsidRPr="00291E5E">
        <w:t xml:space="preserve">acknowledgment of every written complaint within seven working days </w:t>
      </w:r>
    </w:p>
    <w:p w14:paraId="076C15BB" w14:textId="77777777" w:rsidR="00291E5E" w:rsidRPr="00291E5E" w:rsidRDefault="00291E5E" w:rsidP="001142F2">
      <w:pPr>
        <w:pStyle w:val="ARBulletListL1"/>
      </w:pPr>
      <w:r w:rsidRPr="00291E5E">
        <w:t xml:space="preserve">a contact name and phone number on all our letters </w:t>
      </w:r>
    </w:p>
    <w:p w14:paraId="588A5F34" w14:textId="77777777" w:rsidR="00291E5E" w:rsidRPr="00291E5E" w:rsidRDefault="00291E5E" w:rsidP="001142F2">
      <w:pPr>
        <w:pStyle w:val="ARBulletListL1"/>
      </w:pPr>
      <w:r w:rsidRPr="00291E5E">
        <w:t xml:space="preserve">careful assessment of every complaint </w:t>
      </w:r>
    </w:p>
    <w:p w14:paraId="4F73378A" w14:textId="77777777" w:rsidR="00291E5E" w:rsidRPr="00291E5E" w:rsidRDefault="00291E5E" w:rsidP="001142F2">
      <w:pPr>
        <w:pStyle w:val="ARBulletListL1"/>
      </w:pPr>
      <w:r w:rsidRPr="00291E5E">
        <w:t xml:space="preserve">individual case officers for matters we are able to deal with </w:t>
      </w:r>
    </w:p>
    <w:p w14:paraId="12268752" w14:textId="77777777" w:rsidR="00291E5E" w:rsidRPr="00291E5E" w:rsidRDefault="00291E5E" w:rsidP="001142F2">
      <w:pPr>
        <w:pStyle w:val="ARBulletListL1"/>
      </w:pPr>
      <w:r w:rsidRPr="00291E5E">
        <w:t xml:space="preserve">independent and impartial inquiry </w:t>
      </w:r>
    </w:p>
    <w:p w14:paraId="6B2214A0" w14:textId="77777777" w:rsidR="00291E5E" w:rsidRPr="00291E5E" w:rsidRDefault="00291E5E" w:rsidP="001142F2">
      <w:pPr>
        <w:pStyle w:val="ARBulletListL1"/>
        <w:rPr>
          <w:b/>
          <w:color w:val="0072CE"/>
        </w:rPr>
      </w:pPr>
      <w:r w:rsidRPr="00291E5E">
        <w:t>a process that abides by the rules of procedural fairness respect for the privacy of confidential information telephone access to the staff at the Tribunal for the cost of a local call from any landline in Australia access to interpreter assistance referral to the appropriate organisation when we cannot help reasons for any decision we make.</w:t>
      </w:r>
    </w:p>
    <w:p w14:paraId="157E350A" w14:textId="12E4934B" w:rsidR="00291E5E" w:rsidRPr="00291E5E" w:rsidRDefault="00291E5E" w:rsidP="00D579F2">
      <w:pPr>
        <w:pStyle w:val="ARH3-Bodycopyheadinglevel1"/>
      </w:pPr>
      <w:r w:rsidRPr="00291E5E">
        <w:t>What you can do to help us</w:t>
      </w:r>
    </w:p>
    <w:p w14:paraId="25C57E4D" w14:textId="77777777" w:rsidR="00291E5E" w:rsidRPr="00291E5E" w:rsidRDefault="00291E5E" w:rsidP="00B12301">
      <w:r w:rsidRPr="00291E5E">
        <w:t>Before you lodge your complaint with us, you must have made the complaint to your superannuation provider and given them an opportunity to resolve the complaint.</w:t>
      </w:r>
    </w:p>
    <w:p w14:paraId="248B1642" w14:textId="77777777" w:rsidR="00291E5E" w:rsidRPr="00291E5E" w:rsidRDefault="00291E5E" w:rsidP="00B12301">
      <w:r w:rsidRPr="00291E5E">
        <w:t>Certain time limits apply, particularly if your complaint is in relation to a disability benefit or the distribution of a death benefit.</w:t>
      </w:r>
    </w:p>
    <w:p w14:paraId="06E1A3FE" w14:textId="77777777" w:rsidR="00291E5E" w:rsidRPr="00291E5E" w:rsidRDefault="00291E5E" w:rsidP="00B12301">
      <w:r w:rsidRPr="00291E5E">
        <w:t xml:space="preserve">For further details please visit our website at </w:t>
      </w:r>
      <w:r w:rsidRPr="008D2ADF">
        <w:rPr>
          <w:rStyle w:val="Hyperlink"/>
        </w:rPr>
        <w:t>www.sct.gov.au</w:t>
      </w:r>
      <w:r w:rsidRPr="00291E5E">
        <w:rPr>
          <w:rFonts w:ascii="Noyh Geometric Medium" w:hAnsi="Noyh Geometric Medium" w:cs="Noyh Geometric Medium"/>
        </w:rPr>
        <w:t xml:space="preserve"> </w:t>
      </w:r>
      <w:r w:rsidRPr="00291E5E">
        <w:t>or call one of our officers on 1300 884 114 for further details.</w:t>
      </w:r>
    </w:p>
    <w:p w14:paraId="195CFBBA" w14:textId="77777777" w:rsidR="00291E5E" w:rsidRPr="00291E5E" w:rsidRDefault="00291E5E" w:rsidP="00B12301">
      <w:r w:rsidRPr="00291E5E">
        <w:t>When you lodge your complaint, provide us with any documents which relate to your complaint, such as correspondence between you and your fund.</w:t>
      </w:r>
    </w:p>
    <w:p w14:paraId="1F31C7BE" w14:textId="6C7259D8" w:rsidR="00291E5E" w:rsidRPr="00291E5E" w:rsidRDefault="00291E5E" w:rsidP="00D579F2">
      <w:pPr>
        <w:pStyle w:val="ARH3-Bodycopyheadinglevel1"/>
      </w:pPr>
      <w:r w:rsidRPr="00291E5E">
        <w:t>Feedback or complaint about our service</w:t>
      </w:r>
    </w:p>
    <w:p w14:paraId="53C88E34" w14:textId="0815BE32" w:rsidR="00291E5E" w:rsidRPr="00291E5E" w:rsidRDefault="00291E5E" w:rsidP="00B12301">
      <w:r w:rsidRPr="00291E5E">
        <w:t xml:space="preserve">Because we are committed to continually improving our service to the community, we welcome your views. If you have been particularly pleased with your dealings with us, please let us know. If you have any feedback or if you want to complain about our service, please visit our website at </w:t>
      </w:r>
      <w:hyperlink r:id="rId24" w:history="1">
        <w:r w:rsidRPr="008D2ADF">
          <w:rPr>
            <w:rStyle w:val="Hyperlink"/>
          </w:rPr>
          <w:t>www.sct.gov.au</w:t>
        </w:r>
      </w:hyperlink>
      <w:r w:rsidRPr="00291E5E">
        <w:t xml:space="preserve"> or email us at </w:t>
      </w:r>
      <w:hyperlink r:id="rId25" w:history="1">
        <w:r w:rsidR="008D2ADF">
          <w:rPr>
            <w:rStyle w:val="Hyperlink"/>
          </w:rPr>
          <w:t>info@sct.gov.au</w:t>
        </w:r>
      </w:hyperlink>
      <w:r w:rsidRPr="008D2ADF">
        <w:t>.</w:t>
      </w:r>
    </w:p>
    <w:p w14:paraId="500433FC" w14:textId="77777777" w:rsidR="00291E5E" w:rsidRPr="00291E5E" w:rsidRDefault="00291E5E" w:rsidP="009B68BF">
      <w:r w:rsidRPr="00291E5E">
        <w:t>Alternatively, you can contact us by writing to the following address:</w:t>
      </w:r>
    </w:p>
    <w:p w14:paraId="4C4B353F" w14:textId="77777777" w:rsidR="00291E5E" w:rsidRPr="00291E5E" w:rsidRDefault="00291E5E" w:rsidP="009B68BF">
      <w:pPr>
        <w:spacing w:after="0"/>
      </w:pPr>
      <w:r w:rsidRPr="00291E5E">
        <w:t>The Chairperson</w:t>
      </w:r>
    </w:p>
    <w:p w14:paraId="7C467E89" w14:textId="77777777" w:rsidR="00291E5E" w:rsidRPr="00291E5E" w:rsidRDefault="00291E5E" w:rsidP="009B68BF">
      <w:pPr>
        <w:spacing w:before="0" w:after="0"/>
      </w:pPr>
      <w:r w:rsidRPr="00291E5E">
        <w:t>Superannuation Complaints Tribunal</w:t>
      </w:r>
    </w:p>
    <w:p w14:paraId="37714701" w14:textId="3CDC9A8C" w:rsidR="00291E5E" w:rsidRPr="00291E5E" w:rsidRDefault="00291E5E" w:rsidP="009B68BF">
      <w:pPr>
        <w:spacing w:before="0" w:after="0"/>
      </w:pPr>
      <w:r w:rsidRPr="00291E5E">
        <w:t>Locked Bag 3060</w:t>
      </w:r>
    </w:p>
    <w:p w14:paraId="0FBDC74F" w14:textId="77777777" w:rsidR="00291E5E" w:rsidRPr="00291E5E" w:rsidRDefault="00291E5E" w:rsidP="009B68BF">
      <w:pPr>
        <w:spacing w:before="0"/>
      </w:pPr>
      <w:r w:rsidRPr="00291E5E">
        <w:t>Melbourne VIC 3001</w:t>
      </w:r>
    </w:p>
    <w:p w14:paraId="7E93E249" w14:textId="784F2058" w:rsidR="00291E5E" w:rsidRPr="00291E5E" w:rsidRDefault="00291E5E" w:rsidP="00D579F2">
      <w:pPr>
        <w:pStyle w:val="ARH3-Bodycopyheadinglevel1"/>
      </w:pPr>
      <w:r w:rsidRPr="00291E5E">
        <w:lastRenderedPageBreak/>
        <w:t>If you are still not satisfied</w:t>
      </w:r>
    </w:p>
    <w:p w14:paraId="0A5CFA64" w14:textId="77777777" w:rsidR="00291E5E" w:rsidRPr="00291E5E" w:rsidRDefault="00291E5E" w:rsidP="00B12301">
      <w:r w:rsidRPr="00291E5E">
        <w:t>If you are not satisfied after we have investigated your complaint, you can contact the Commonwealth Ombudsman.</w:t>
      </w:r>
    </w:p>
    <w:p w14:paraId="2BFE8926" w14:textId="19811767" w:rsidR="00291E5E" w:rsidRPr="00291E5E" w:rsidRDefault="00291E5E" w:rsidP="00B12301">
      <w:r w:rsidRPr="00291E5E">
        <w:t>The Ombudsman has an office in every state and territory. Complaints can be made in writing, by telephone or by using the Ombudsman</w:t>
      </w:r>
      <w:r w:rsidR="0050078B">
        <w:t>’</w:t>
      </w:r>
      <w:r w:rsidRPr="00291E5E">
        <w:t>s online complaint form.</w:t>
      </w:r>
    </w:p>
    <w:p w14:paraId="076C22BD" w14:textId="1F846376" w:rsidR="001142F2" w:rsidRDefault="00291E5E" w:rsidP="00B12301">
      <w:r w:rsidRPr="00291E5E">
        <w:t>The Ombudsman</w:t>
      </w:r>
      <w:r w:rsidR="0050078B">
        <w:t>’</w:t>
      </w:r>
      <w:r w:rsidRPr="00291E5E">
        <w:t xml:space="preserve">s office can be contacted by telephone on 1300 362 072. Address and further information about the Ombudsman can be found at </w:t>
      </w:r>
      <w:hyperlink r:id="rId26" w:history="1">
        <w:r w:rsidR="001142F2" w:rsidRPr="008D2ADF">
          <w:rPr>
            <w:rStyle w:val="Hyperlink"/>
          </w:rPr>
          <w:t>www.ombudsman.gov.au</w:t>
        </w:r>
      </w:hyperlink>
      <w:r w:rsidRPr="00291E5E">
        <w:t>.</w:t>
      </w:r>
    </w:p>
    <w:p w14:paraId="5EE040D5" w14:textId="7621BD68" w:rsidR="00291E5E" w:rsidRPr="00291E5E" w:rsidRDefault="00291E5E" w:rsidP="00B12301">
      <w:pPr>
        <w:rPr>
          <w:b/>
          <w:color w:val="0072CE"/>
        </w:rPr>
      </w:pPr>
      <w:r w:rsidRPr="00291E5E">
        <w:br w:type="page"/>
      </w:r>
    </w:p>
    <w:p w14:paraId="5C2416E6" w14:textId="50C0F640" w:rsidR="00291E5E" w:rsidRPr="00291E5E" w:rsidRDefault="00291E5E" w:rsidP="00D579F2">
      <w:pPr>
        <w:pStyle w:val="ARH2-Bodycopyheadinglevel1"/>
      </w:pPr>
      <w:r w:rsidRPr="00291E5E">
        <w:lastRenderedPageBreak/>
        <w:t xml:space="preserve">Appendix 4.0 </w:t>
      </w:r>
      <w:r w:rsidRPr="00291E5E">
        <w:tab/>
        <w:t>Chairperson</w:t>
      </w:r>
      <w:r w:rsidR="0050078B">
        <w:t>’</w:t>
      </w:r>
      <w:r w:rsidRPr="00291E5E">
        <w:t xml:space="preserve">s guidelines and procedural rules </w:t>
      </w:r>
    </w:p>
    <w:p w14:paraId="6BA89C09" w14:textId="77777777" w:rsidR="00291E5E" w:rsidRPr="001142F2" w:rsidRDefault="00291E5E" w:rsidP="00EB5AF9">
      <w:pPr>
        <w:pStyle w:val="App41"/>
      </w:pPr>
      <w:r w:rsidRPr="001142F2">
        <w:t>Interpretation and application</w:t>
      </w:r>
    </w:p>
    <w:p w14:paraId="3E77059F" w14:textId="77777777" w:rsidR="00291E5E" w:rsidRPr="00291E5E" w:rsidRDefault="00291E5E" w:rsidP="00136922">
      <w:pPr>
        <w:pStyle w:val="App42"/>
      </w:pPr>
      <w:r w:rsidRPr="00291E5E">
        <w:t>(1)</w:t>
      </w:r>
      <w:r w:rsidRPr="00291E5E">
        <w:tab/>
        <w:t>In this document:</w:t>
      </w:r>
    </w:p>
    <w:p w14:paraId="771F8471" w14:textId="0E34ECC4" w:rsidR="00291E5E" w:rsidRPr="00291E5E" w:rsidRDefault="00291E5E" w:rsidP="00136922">
      <w:pPr>
        <w:pStyle w:val="App43"/>
      </w:pPr>
      <w:r w:rsidRPr="00291E5E">
        <w:t xml:space="preserve">a reference to </w:t>
      </w:r>
      <w:r w:rsidR="0050078B">
        <w:t>“</w:t>
      </w:r>
      <w:r w:rsidRPr="00291E5E">
        <w:t>the Act</w:t>
      </w:r>
      <w:r w:rsidR="0050078B">
        <w:t>”</w:t>
      </w:r>
      <w:r w:rsidRPr="00291E5E">
        <w:t xml:space="preserve"> is a reference to the Superannuation (Resolution of Complaints) Act 1993; </w:t>
      </w:r>
    </w:p>
    <w:p w14:paraId="0F28E188" w14:textId="7D7CF286" w:rsidR="00291E5E" w:rsidRPr="00291E5E" w:rsidRDefault="00291E5E" w:rsidP="00B12301">
      <w:pPr>
        <w:pStyle w:val="ListParagraph"/>
        <w:numPr>
          <w:ilvl w:val="0"/>
          <w:numId w:val="18"/>
        </w:numPr>
      </w:pPr>
      <w:r w:rsidRPr="00291E5E">
        <w:t xml:space="preserve">a reference to </w:t>
      </w:r>
      <w:r w:rsidR="0050078B">
        <w:t>“</w:t>
      </w:r>
      <w:r w:rsidRPr="00291E5E">
        <w:t>presiding member</w:t>
      </w:r>
      <w:r w:rsidR="0050078B">
        <w:t>”</w:t>
      </w:r>
      <w:r w:rsidRPr="00291E5E">
        <w:t xml:space="preserve"> is a reference to the person identified in s.9(3), s.9(3A) or s.9(3B) of the Act and, where the context requires for the purposes of the procedural rules, is also a reference to a single Tribunal member constituting the Tribunal.</w:t>
      </w:r>
    </w:p>
    <w:p w14:paraId="2E60E943" w14:textId="77777777" w:rsidR="00291E5E" w:rsidRPr="00291E5E" w:rsidRDefault="00291E5E" w:rsidP="00136922">
      <w:pPr>
        <w:pStyle w:val="App42"/>
      </w:pPr>
      <w:r w:rsidRPr="00291E5E">
        <w:t>(2)</w:t>
      </w:r>
      <w:r w:rsidRPr="00291E5E">
        <w:tab/>
        <w:t>Clause 2 is made for the purposes of s.7A(3), s.9(1), s.9(2) and s.9(2A) of the Act. The guidelines in clause 2 will also apply in relation to any reconstitution of the Tribunal under s.9(1A) and s.10(4) of the Act.</w:t>
      </w:r>
    </w:p>
    <w:p w14:paraId="56E1746C" w14:textId="77777777" w:rsidR="00291E5E" w:rsidRPr="00291E5E" w:rsidRDefault="00291E5E" w:rsidP="00136922">
      <w:pPr>
        <w:pStyle w:val="App42"/>
      </w:pPr>
      <w:r w:rsidRPr="00291E5E">
        <w:t>(3)</w:t>
      </w:r>
      <w:r w:rsidRPr="00291E5E">
        <w:tab/>
        <w:t>Clauses 3 to 7 are made for the purposes of establishing procedural rules for the conduct of review meetings for the purposes of s.9(4) of the Act.</w:t>
      </w:r>
    </w:p>
    <w:p w14:paraId="7C51A446" w14:textId="17521AC0" w:rsidR="00291E5E" w:rsidRPr="001142F2" w:rsidRDefault="00291E5E" w:rsidP="00EB5AF9">
      <w:pPr>
        <w:pStyle w:val="App41"/>
      </w:pPr>
      <w:r w:rsidRPr="001142F2">
        <w:t>Guidelines for the constitution of the Tribunal for a review meeting</w:t>
      </w:r>
    </w:p>
    <w:p w14:paraId="63181155" w14:textId="77777777" w:rsidR="00291E5E" w:rsidRPr="00291E5E" w:rsidRDefault="00291E5E" w:rsidP="00136922">
      <w:pPr>
        <w:pStyle w:val="App42"/>
      </w:pPr>
      <w:r w:rsidRPr="00291E5E">
        <w:t>(1)</w:t>
      </w:r>
      <w:r w:rsidRPr="00291E5E">
        <w:tab/>
        <w:t>For the purposes of dealing with a complaint about a decision that relates to the payment of a death benefit and which primarily concerns the distribution of the death benefit, the Tribunal will usually be constituted:</w:t>
      </w:r>
    </w:p>
    <w:p w14:paraId="2D5DC61E" w14:textId="77777777" w:rsidR="00291E5E" w:rsidRPr="00291E5E" w:rsidRDefault="00291E5E" w:rsidP="00136922">
      <w:pPr>
        <w:pStyle w:val="App43"/>
        <w:numPr>
          <w:ilvl w:val="0"/>
          <w:numId w:val="26"/>
        </w:numPr>
      </w:pPr>
      <w:r w:rsidRPr="00291E5E">
        <w:t>where the sum involved is below $100,000 – by a single Tribunal member;</w:t>
      </w:r>
    </w:p>
    <w:p w14:paraId="01863762" w14:textId="77777777" w:rsidR="00291E5E" w:rsidRPr="00291E5E" w:rsidRDefault="00291E5E" w:rsidP="00136922">
      <w:pPr>
        <w:pStyle w:val="App43"/>
      </w:pPr>
      <w:r w:rsidRPr="00291E5E">
        <w:t xml:space="preserve">where the sum involved is not less than $100,000 – by 2 Tribunal members. </w:t>
      </w:r>
    </w:p>
    <w:p w14:paraId="15074CD9" w14:textId="77777777" w:rsidR="00291E5E" w:rsidRPr="00291E5E" w:rsidRDefault="00291E5E" w:rsidP="00136922">
      <w:pPr>
        <w:pStyle w:val="App42"/>
      </w:pPr>
      <w:r w:rsidRPr="00291E5E">
        <w:t>(2)</w:t>
      </w:r>
      <w:r w:rsidRPr="00291E5E">
        <w:tab/>
        <w:t>For the purposes of dealing with a complaint about a decision relating to the payment of a disability benefit where it would be likely that the Tribunal would be required to undertake the evaluation or assessment of medical evidence or reports, the Tribunal will, if possible, usually be constituted by 2 Tribunal members, one of whom will be a member of the medical profession.</w:t>
      </w:r>
    </w:p>
    <w:p w14:paraId="541BD4AF" w14:textId="77777777" w:rsidR="00291E5E" w:rsidRPr="00291E5E" w:rsidRDefault="00291E5E" w:rsidP="00136922">
      <w:pPr>
        <w:pStyle w:val="App42"/>
      </w:pPr>
      <w:r w:rsidRPr="00291E5E">
        <w:t>(3)</w:t>
      </w:r>
      <w:r w:rsidRPr="00291E5E">
        <w:tab/>
        <w:t>For the purposes of dealing with a complaint, other than a complaint referred to in paragraphs (1) or (2), the Tribunal will usually be constituted:</w:t>
      </w:r>
    </w:p>
    <w:p w14:paraId="4ABB173A" w14:textId="77777777" w:rsidR="00291E5E" w:rsidRPr="00291E5E" w:rsidRDefault="00291E5E" w:rsidP="00136922">
      <w:pPr>
        <w:pStyle w:val="App43"/>
        <w:numPr>
          <w:ilvl w:val="0"/>
          <w:numId w:val="27"/>
        </w:numPr>
      </w:pPr>
      <w:r w:rsidRPr="00291E5E">
        <w:t>where the complaint involves a sum of less than $50,000 – by a single Tribunal Member; or</w:t>
      </w:r>
    </w:p>
    <w:p w14:paraId="0676DF8B" w14:textId="77777777" w:rsidR="00291E5E" w:rsidRPr="00291E5E" w:rsidRDefault="00291E5E" w:rsidP="00136922">
      <w:pPr>
        <w:pStyle w:val="App43"/>
      </w:pPr>
      <w:r w:rsidRPr="00291E5E">
        <w:t>where the complaint involves a sum of not less than $50,000 – by 2 Tribunal Members.</w:t>
      </w:r>
    </w:p>
    <w:p w14:paraId="196A9850" w14:textId="77777777" w:rsidR="00291E5E" w:rsidRPr="00291E5E" w:rsidRDefault="00291E5E" w:rsidP="00136922">
      <w:pPr>
        <w:pStyle w:val="App42"/>
      </w:pPr>
      <w:r w:rsidRPr="00291E5E">
        <w:t>(4)</w:t>
      </w:r>
      <w:r w:rsidRPr="00291E5E">
        <w:tab/>
        <w:t>Where:</w:t>
      </w:r>
    </w:p>
    <w:p w14:paraId="2961ED1C" w14:textId="77777777" w:rsidR="00291E5E" w:rsidRPr="00291E5E" w:rsidRDefault="00291E5E" w:rsidP="00136922">
      <w:pPr>
        <w:pStyle w:val="App43"/>
        <w:numPr>
          <w:ilvl w:val="0"/>
          <w:numId w:val="28"/>
        </w:numPr>
      </w:pPr>
      <w:r w:rsidRPr="00291E5E">
        <w:t xml:space="preserve">a party to a complaint notifies the Tribunal in advance of any Tribunal being constituted in relation to that complaint that there is an issue of principle to be determined, or </w:t>
      </w:r>
    </w:p>
    <w:p w14:paraId="2CD21FEB" w14:textId="77777777" w:rsidR="00291E5E" w:rsidRPr="00291E5E" w:rsidRDefault="00291E5E" w:rsidP="00136922">
      <w:pPr>
        <w:pStyle w:val="App43"/>
      </w:pPr>
      <w:r w:rsidRPr="00291E5E">
        <w:lastRenderedPageBreak/>
        <w:t>where the Tribunal identifies such an issue or there is some unusual difficulty associated with the complaint</w:t>
      </w:r>
    </w:p>
    <w:p w14:paraId="141F3E8F" w14:textId="77777777" w:rsidR="00291E5E" w:rsidRPr="00291E5E" w:rsidRDefault="00291E5E" w:rsidP="00136922">
      <w:pPr>
        <w:pStyle w:val="App42"/>
        <w:ind w:firstLine="0"/>
      </w:pPr>
      <w:r w:rsidRPr="00291E5E">
        <w:t>the Tribunal Chairperson may, where the Tribunal under paragraphs (1) or (3) may otherwise be constituted by a single Tribunal member, constitute the Tribunal by 2 Tribunal members.</w:t>
      </w:r>
    </w:p>
    <w:p w14:paraId="0DAFB2AB" w14:textId="77777777" w:rsidR="00291E5E" w:rsidRPr="00291E5E" w:rsidRDefault="00291E5E" w:rsidP="00136922">
      <w:pPr>
        <w:pStyle w:val="App42"/>
      </w:pPr>
      <w:r w:rsidRPr="00291E5E">
        <w:t>(5)</w:t>
      </w:r>
      <w:r w:rsidRPr="00291E5E">
        <w:tab/>
        <w:t>The Tribunal Chairperson will select the Tribunal members and constitute the Tribunal in relation to a particular complaint:</w:t>
      </w:r>
    </w:p>
    <w:p w14:paraId="2865FEDF" w14:textId="77777777" w:rsidR="00291E5E" w:rsidRPr="00291E5E" w:rsidRDefault="00291E5E" w:rsidP="00136922">
      <w:pPr>
        <w:pStyle w:val="App43"/>
        <w:numPr>
          <w:ilvl w:val="0"/>
          <w:numId w:val="29"/>
        </w:numPr>
      </w:pPr>
      <w:r w:rsidRPr="00291E5E">
        <w:t>in writing signed and dated by the Tribunal Chairperson; and</w:t>
      </w:r>
    </w:p>
    <w:p w14:paraId="6BEF860E" w14:textId="77777777" w:rsidR="00291E5E" w:rsidRPr="00291E5E" w:rsidRDefault="00291E5E" w:rsidP="00136922">
      <w:pPr>
        <w:pStyle w:val="App43"/>
      </w:pPr>
      <w:r w:rsidRPr="00291E5E">
        <w:t>at a reasonable time before the scheduled time of commencement of the review meeting.</w:t>
      </w:r>
    </w:p>
    <w:p w14:paraId="37770B30" w14:textId="4ADB1AF0" w:rsidR="00291E5E" w:rsidRPr="00136922" w:rsidRDefault="00291E5E" w:rsidP="00EB5AF9">
      <w:pPr>
        <w:pStyle w:val="App41"/>
      </w:pPr>
      <w:r w:rsidRPr="00136922">
        <w:t>Commencement, adjournment and conclusion of review meetings</w:t>
      </w:r>
    </w:p>
    <w:p w14:paraId="6CF4F49F" w14:textId="77777777" w:rsidR="00291E5E" w:rsidRPr="00291E5E" w:rsidRDefault="00291E5E" w:rsidP="00136922">
      <w:pPr>
        <w:pStyle w:val="App42"/>
      </w:pPr>
      <w:r w:rsidRPr="00291E5E">
        <w:t>(1)</w:t>
      </w:r>
      <w:r w:rsidRPr="00291E5E">
        <w:tab/>
        <w:t>The review meeting commences at the date and time fixed under s.32(l) of the Act in relation to the complaint.</w:t>
      </w:r>
    </w:p>
    <w:p w14:paraId="0C595CD8" w14:textId="59849D89" w:rsidR="00291E5E" w:rsidRPr="00291E5E" w:rsidRDefault="00291E5E" w:rsidP="00136922">
      <w:pPr>
        <w:pStyle w:val="App42"/>
      </w:pPr>
      <w:r w:rsidRPr="00291E5E">
        <w:t>(2)</w:t>
      </w:r>
      <w:r w:rsidRPr="00291E5E">
        <w:tab/>
        <w:t>The presiding member may exercise the power to adjourn a review meeting under s.42 of the Act and to re</w:t>
      </w:r>
      <w:r w:rsidR="0050078B">
        <w:noBreakHyphen/>
      </w:r>
      <w:r w:rsidRPr="00291E5E">
        <w:t>convene the meeting for further deliberations. If a review meeting is adjourned the presiding member must inform the Tribunal secretariat.</w:t>
      </w:r>
    </w:p>
    <w:p w14:paraId="5B4B7F4B" w14:textId="77777777" w:rsidR="00291E5E" w:rsidRPr="00291E5E" w:rsidRDefault="00291E5E" w:rsidP="00136922">
      <w:pPr>
        <w:pStyle w:val="App42"/>
      </w:pPr>
      <w:r w:rsidRPr="00291E5E">
        <w:t>(3)</w:t>
      </w:r>
      <w:r w:rsidRPr="00291E5E">
        <w:tab/>
        <w:t>If a review meeting is adjourned because the Tribunal considers that further information is required, the presiding member must direct the Tribunal secretariat to request the further information from the parties.</w:t>
      </w:r>
    </w:p>
    <w:p w14:paraId="7A5F3C41" w14:textId="77777777" w:rsidR="00291E5E" w:rsidRPr="00291E5E" w:rsidRDefault="00291E5E" w:rsidP="00136922">
      <w:pPr>
        <w:pStyle w:val="App42"/>
      </w:pPr>
      <w:r w:rsidRPr="00291E5E">
        <w:t>(4)</w:t>
      </w:r>
      <w:r w:rsidRPr="00291E5E">
        <w:tab/>
        <w:t>The review meeting concludes when the presiding member signs and dates the determination and reasons.</w:t>
      </w:r>
    </w:p>
    <w:p w14:paraId="7ADF650C" w14:textId="27D4597D" w:rsidR="00291E5E" w:rsidRPr="00291E5E" w:rsidRDefault="00291E5E" w:rsidP="00EB5AF9">
      <w:pPr>
        <w:pStyle w:val="App41"/>
      </w:pPr>
      <w:r w:rsidRPr="00291E5E">
        <w:t>The review meeting</w:t>
      </w:r>
    </w:p>
    <w:p w14:paraId="673483C7" w14:textId="31F0AAEE" w:rsidR="00291E5E" w:rsidRPr="00291E5E" w:rsidRDefault="00291E5E" w:rsidP="00136922">
      <w:pPr>
        <w:pStyle w:val="App42"/>
      </w:pPr>
      <w:r w:rsidRPr="00291E5E">
        <w:t>(1)</w:t>
      </w:r>
      <w:r w:rsidRPr="00291E5E">
        <w:tab/>
        <w:t>If a question as to the Tribunal</w:t>
      </w:r>
      <w:r w:rsidR="0050078B">
        <w:t>’</w:t>
      </w:r>
      <w:r w:rsidRPr="00291E5E">
        <w:t>s jurisdiction in relation to the complaint arises the Tribunal is to consider the question at the review meeting. If:</w:t>
      </w:r>
    </w:p>
    <w:p w14:paraId="64B06466" w14:textId="09C39045" w:rsidR="00291E5E" w:rsidRPr="00291E5E" w:rsidRDefault="00291E5E" w:rsidP="00136922">
      <w:pPr>
        <w:pStyle w:val="App43"/>
        <w:numPr>
          <w:ilvl w:val="0"/>
          <w:numId w:val="30"/>
        </w:numPr>
      </w:pPr>
      <w:r w:rsidRPr="00291E5E">
        <w:t>the Tribunal</w:t>
      </w:r>
      <w:r w:rsidR="0050078B">
        <w:t>’</w:t>
      </w:r>
      <w:r w:rsidRPr="00291E5E">
        <w:t>s view is that the complaint appears to be outside the Tribunal</w:t>
      </w:r>
      <w:r w:rsidR="0050078B">
        <w:t>’</w:t>
      </w:r>
      <w:r w:rsidRPr="00291E5E">
        <w:t xml:space="preserve">s jurisdiction; or </w:t>
      </w:r>
    </w:p>
    <w:p w14:paraId="5E08879A" w14:textId="5845EA46" w:rsidR="00291E5E" w:rsidRPr="00291E5E" w:rsidRDefault="00291E5E" w:rsidP="00136922">
      <w:pPr>
        <w:pStyle w:val="App43"/>
      </w:pPr>
      <w:r w:rsidRPr="00291E5E">
        <w:t>the Tribunal members constituting the Tribunal do not agree with the Tribunal secretariat that the complaint appears to be within the Tribunal</w:t>
      </w:r>
      <w:r w:rsidR="0050078B">
        <w:t>’</w:t>
      </w:r>
      <w:r w:rsidRPr="00291E5E">
        <w:t>s jurisdiction</w:t>
      </w:r>
    </w:p>
    <w:p w14:paraId="08470407" w14:textId="77777777" w:rsidR="00291E5E" w:rsidRPr="00291E5E" w:rsidRDefault="00291E5E" w:rsidP="00136922">
      <w:pPr>
        <w:pStyle w:val="App42"/>
        <w:ind w:firstLine="0"/>
      </w:pPr>
      <w:r w:rsidRPr="00291E5E">
        <w:t>the presiding member must adjourn the review meeting and refer the question to the Tribunal Chairperson or, where the presiding member is the Tribunal Chairperson, to the Tribunal Deputy Chairperson for guidance.</w:t>
      </w:r>
    </w:p>
    <w:p w14:paraId="2772354B" w14:textId="77777777" w:rsidR="00291E5E" w:rsidRPr="00291E5E" w:rsidRDefault="00291E5E" w:rsidP="00136922">
      <w:pPr>
        <w:pStyle w:val="App42"/>
      </w:pPr>
      <w:r w:rsidRPr="00291E5E">
        <w:t>(2)</w:t>
      </w:r>
      <w:r w:rsidRPr="00291E5E">
        <w:tab/>
        <w:t>If the guidance of the Tribunal Chairperson or the Tribunal Deputy Chairperson is that the complaint is:</w:t>
      </w:r>
    </w:p>
    <w:p w14:paraId="6373534A" w14:textId="6C4ABBED" w:rsidR="00291E5E" w:rsidRPr="00291E5E" w:rsidRDefault="00291E5E" w:rsidP="00136922">
      <w:pPr>
        <w:pStyle w:val="App43"/>
        <w:numPr>
          <w:ilvl w:val="0"/>
          <w:numId w:val="31"/>
        </w:numPr>
      </w:pPr>
      <w:r w:rsidRPr="00291E5E">
        <w:t>within the Tribunal</w:t>
      </w:r>
      <w:r w:rsidR="0050078B">
        <w:t>’</w:t>
      </w:r>
      <w:r w:rsidRPr="00291E5E">
        <w:t>s jurisdiction, the presiding member will reconvene and complete the review meeting consistent with that guidance; or</w:t>
      </w:r>
    </w:p>
    <w:p w14:paraId="5A4F1DF1" w14:textId="641544DC" w:rsidR="00291E5E" w:rsidRPr="00291E5E" w:rsidRDefault="00291E5E" w:rsidP="00136922">
      <w:pPr>
        <w:pStyle w:val="App43"/>
      </w:pPr>
      <w:r w:rsidRPr="00291E5E">
        <w:lastRenderedPageBreak/>
        <w:t>outside the Tribunal</w:t>
      </w:r>
      <w:r w:rsidR="0050078B">
        <w:t>’</w:t>
      </w:r>
      <w:r w:rsidRPr="00291E5E">
        <w:t>s jurisdiction, the review meeting in relation to that complaint will be abandoned and taken not to have commenced.</w:t>
      </w:r>
    </w:p>
    <w:p w14:paraId="283C7B26" w14:textId="4EC65877" w:rsidR="00291E5E" w:rsidRPr="00291E5E" w:rsidRDefault="00291E5E" w:rsidP="00136922">
      <w:pPr>
        <w:pStyle w:val="App42"/>
      </w:pPr>
      <w:r w:rsidRPr="00291E5E">
        <w:t>(3)</w:t>
      </w:r>
      <w:r w:rsidRPr="00291E5E">
        <w:tab/>
        <w:t>Where, after the receipt by the Tribunal member or members constituting the Tribunal of material in relation to a complaint under the Tribunal</w:t>
      </w:r>
      <w:r w:rsidR="0050078B">
        <w:t>’</w:t>
      </w:r>
      <w:r w:rsidRPr="00291E5E">
        <w:t>s submissions processes for the purposes of s 32 and s 33 of the Act, a party provides further material, the presiding member may direct the Tribunal secretariat that, in his or her opinion, it is necessary on the grounds of procedural fairness that the other parties be invited to make comments in relation to the further material.</w:t>
      </w:r>
    </w:p>
    <w:p w14:paraId="334D170E" w14:textId="77777777" w:rsidR="00291E5E" w:rsidRPr="00291E5E" w:rsidRDefault="00291E5E" w:rsidP="00136922">
      <w:pPr>
        <w:pStyle w:val="App42"/>
      </w:pPr>
      <w:r w:rsidRPr="00291E5E">
        <w:t>(4)</w:t>
      </w:r>
      <w:r w:rsidRPr="00291E5E">
        <w:tab/>
        <w:t>The presiding member must consult with the Tribunal Chairperson or, where the presiding member is the Tribunal Chairperson, with the Tribunal Deputy Chairperson before the Tribunal refers a question of law to the Federal Court for decision under s.39 of the Act.</w:t>
      </w:r>
    </w:p>
    <w:p w14:paraId="7F37EF5B" w14:textId="79C854AD" w:rsidR="00291E5E" w:rsidRPr="00291E5E" w:rsidRDefault="00291E5E" w:rsidP="00EB5AF9">
      <w:pPr>
        <w:pStyle w:val="App41"/>
      </w:pPr>
      <w:r w:rsidRPr="00291E5E">
        <w:t>Oral submissions</w:t>
      </w:r>
    </w:p>
    <w:p w14:paraId="1FE67883" w14:textId="77777777" w:rsidR="00291E5E" w:rsidRPr="00291E5E" w:rsidRDefault="00291E5E" w:rsidP="00136922">
      <w:pPr>
        <w:pStyle w:val="App42"/>
      </w:pPr>
      <w:r w:rsidRPr="00291E5E">
        <w:t>(1)</w:t>
      </w:r>
      <w:r w:rsidRPr="00291E5E">
        <w:tab/>
        <w:t>The Tribunal Chairperson or the Tribunal Deputy Chairperson will generally only make an order under s.34(2) of the Act to allow the parties to make oral submissions in exceptional circumstances.</w:t>
      </w:r>
    </w:p>
    <w:p w14:paraId="67A9F634" w14:textId="77777777" w:rsidR="00291E5E" w:rsidRPr="00291E5E" w:rsidRDefault="00291E5E" w:rsidP="00136922">
      <w:pPr>
        <w:pStyle w:val="App42"/>
      </w:pPr>
      <w:r w:rsidRPr="00291E5E">
        <w:t>(2)</w:t>
      </w:r>
      <w:r w:rsidRPr="00291E5E">
        <w:tab/>
        <w:t>An order to allow oral submissions will only be made where the parties also present written submissions prior to the review meeting.</w:t>
      </w:r>
    </w:p>
    <w:p w14:paraId="7E572711" w14:textId="77777777" w:rsidR="00291E5E" w:rsidRPr="00291E5E" w:rsidRDefault="00291E5E" w:rsidP="00136922">
      <w:pPr>
        <w:pStyle w:val="App42"/>
      </w:pPr>
      <w:r w:rsidRPr="00291E5E">
        <w:t>(3)</w:t>
      </w:r>
      <w:r w:rsidRPr="00291E5E">
        <w:tab/>
        <w:t>Any oral submissions allowed shall be presented in an order determined by the presiding member, who shall provide the opportunity for reply as procedural fairness requires.</w:t>
      </w:r>
    </w:p>
    <w:p w14:paraId="7082B2E1" w14:textId="77777777" w:rsidR="00291E5E" w:rsidRPr="00291E5E" w:rsidRDefault="00291E5E" w:rsidP="00136922">
      <w:pPr>
        <w:pStyle w:val="App42"/>
      </w:pPr>
      <w:r w:rsidRPr="00291E5E">
        <w:t>(4)</w:t>
      </w:r>
      <w:r w:rsidRPr="00291E5E">
        <w:tab/>
        <w:t>At a review meeting, the presiding member shall allow parties to raise questions of another party through the presiding member and shall also allow questioning of any party by any Tribunal member.</w:t>
      </w:r>
    </w:p>
    <w:p w14:paraId="61155DBE" w14:textId="77777777" w:rsidR="00291E5E" w:rsidRPr="00291E5E" w:rsidRDefault="00291E5E" w:rsidP="00136922">
      <w:pPr>
        <w:pStyle w:val="App42"/>
      </w:pPr>
      <w:r w:rsidRPr="00291E5E">
        <w:t>(5)</w:t>
      </w:r>
      <w:r w:rsidRPr="00291E5E">
        <w:tab/>
        <w:t>No determination shall be made at the review meeting. Part 6 of the Act specifies that a determination and the reasons shall be in writing.</w:t>
      </w:r>
    </w:p>
    <w:p w14:paraId="01581618" w14:textId="61FA722C" w:rsidR="00291E5E" w:rsidRPr="00291E5E" w:rsidRDefault="00291E5E" w:rsidP="00EB5AF9">
      <w:pPr>
        <w:pStyle w:val="App41"/>
      </w:pPr>
      <w:r w:rsidRPr="00291E5E">
        <w:t>Preparation and making of determinations</w:t>
      </w:r>
    </w:p>
    <w:p w14:paraId="2B544BD8" w14:textId="77777777" w:rsidR="00291E5E" w:rsidRPr="00291E5E" w:rsidRDefault="00291E5E" w:rsidP="00136922">
      <w:pPr>
        <w:pStyle w:val="App42"/>
      </w:pPr>
      <w:r w:rsidRPr="00291E5E">
        <w:t>(1)</w:t>
      </w:r>
      <w:r w:rsidRPr="00291E5E">
        <w:tab/>
        <w:t>The Tribunal Chairperson will, for each Tribunal constituted to deal with a complaint, nominate the Tribunal member or members who are to draft the wording of a determination.</w:t>
      </w:r>
    </w:p>
    <w:p w14:paraId="5BEE6EFE" w14:textId="75DAF215" w:rsidR="00291E5E" w:rsidRPr="00291E5E" w:rsidRDefault="00291E5E" w:rsidP="00136922">
      <w:pPr>
        <w:pStyle w:val="App42"/>
      </w:pPr>
      <w:r w:rsidRPr="00291E5E">
        <w:t>(2)</w:t>
      </w:r>
      <w:r w:rsidRPr="00291E5E">
        <w:tab/>
        <w:t>All determinations and reasons should basically follow the outline in the pro</w:t>
      </w:r>
      <w:r w:rsidR="0050078B">
        <w:noBreakHyphen/>
      </w:r>
      <w:r w:rsidRPr="00291E5E">
        <w:t>formas approved from time to time by the Tribunal Chairperson. Such pro</w:t>
      </w:r>
      <w:r w:rsidR="0050078B">
        <w:noBreakHyphen/>
      </w:r>
      <w:r w:rsidRPr="00291E5E">
        <w:t>formas will include a layout for the cover pages and final signature. The pro</w:t>
      </w:r>
      <w:r w:rsidR="0050078B">
        <w:noBreakHyphen/>
      </w:r>
      <w:r w:rsidRPr="00291E5E">
        <w:t>formas may include standard sub</w:t>
      </w:r>
      <w:r w:rsidR="0050078B">
        <w:noBreakHyphen/>
      </w:r>
      <w:r w:rsidRPr="00291E5E">
        <w:t>headings which may assist both Tribunal members and staff of the Tribunal undertaking word processing. The pro</w:t>
      </w:r>
      <w:r w:rsidR="0050078B">
        <w:noBreakHyphen/>
      </w:r>
      <w:r w:rsidRPr="00291E5E">
        <w:t>formas will not include standard form paragraphs because each Tribunal must turn its mind to the particular requirements and circumstances of each individual complaint.</w:t>
      </w:r>
    </w:p>
    <w:p w14:paraId="6524DD3A" w14:textId="732D175B" w:rsidR="00291E5E" w:rsidRPr="00291E5E" w:rsidRDefault="00291E5E" w:rsidP="00136922">
      <w:pPr>
        <w:pStyle w:val="App42"/>
      </w:pPr>
      <w:r w:rsidRPr="00291E5E">
        <w:t>(3)</w:t>
      </w:r>
      <w:r w:rsidRPr="00291E5E">
        <w:tab/>
        <w:t>Consistent with the secrecy provisions under s.63 of the Act, the Tribunal</w:t>
      </w:r>
      <w:r w:rsidR="0050078B">
        <w:t>’</w:t>
      </w:r>
      <w:r w:rsidRPr="00291E5E">
        <w:t xml:space="preserve">s determination and reasons must be worded in such a way that, after </w:t>
      </w:r>
      <w:r w:rsidRPr="00291E5E">
        <w:lastRenderedPageBreak/>
        <w:t>substituting an alternative cover page, the document may be made available to the public without enabling the identification of the parties.</w:t>
      </w:r>
    </w:p>
    <w:p w14:paraId="5247DF39" w14:textId="77777777" w:rsidR="00291E5E" w:rsidRPr="00291E5E" w:rsidRDefault="00291E5E" w:rsidP="00136922">
      <w:pPr>
        <w:pStyle w:val="App42"/>
        <w:ind w:firstLine="0"/>
      </w:pPr>
      <w:r w:rsidRPr="00291E5E">
        <w:t>Descriptive terms like Complainant, Trustee, Member, Deceased Member, Insurer, Employer, Infant Son, Daughter, Spouse, De facto Spouse etc should be used.</w:t>
      </w:r>
    </w:p>
    <w:p w14:paraId="2A4B6FCA" w14:textId="77777777" w:rsidR="00291E5E" w:rsidRPr="00291E5E" w:rsidRDefault="00291E5E" w:rsidP="00136922">
      <w:pPr>
        <w:pStyle w:val="App42"/>
      </w:pPr>
      <w:r w:rsidRPr="00291E5E">
        <w:t>(4)</w:t>
      </w:r>
      <w:r w:rsidRPr="00291E5E">
        <w:tab/>
        <w:t>The reasons for the determination should generally not include:</w:t>
      </w:r>
    </w:p>
    <w:p w14:paraId="2B0C694F" w14:textId="77777777" w:rsidR="00291E5E" w:rsidRPr="00291E5E" w:rsidRDefault="00291E5E" w:rsidP="00136922">
      <w:pPr>
        <w:pStyle w:val="App43"/>
        <w:numPr>
          <w:ilvl w:val="0"/>
          <w:numId w:val="32"/>
        </w:numPr>
      </w:pPr>
      <w:r w:rsidRPr="00291E5E">
        <w:t>observations as to whether a contravention of any law, the governing rules of a fund or the terms and conditions of retirement savings account or an annuity policy has or may have occurred; or</w:t>
      </w:r>
    </w:p>
    <w:p w14:paraId="1630B5C6" w14:textId="77777777" w:rsidR="00291E5E" w:rsidRPr="00291E5E" w:rsidRDefault="00291E5E" w:rsidP="00136922">
      <w:pPr>
        <w:pStyle w:val="App43"/>
      </w:pPr>
      <w:r w:rsidRPr="00291E5E">
        <w:t xml:space="preserve">comments with respect to the design of a product relevant to the complaint or the actions of persons in the operation or administration of that product </w:t>
      </w:r>
    </w:p>
    <w:p w14:paraId="65BA17A3" w14:textId="77777777" w:rsidR="00291E5E" w:rsidRPr="00291E5E" w:rsidRDefault="00291E5E" w:rsidP="00136922">
      <w:pPr>
        <w:pStyle w:val="App42"/>
        <w:ind w:firstLine="0"/>
      </w:pPr>
      <w:r w:rsidRPr="00291E5E">
        <w:t>outside the context of providing adequate reasons for the determination in relation to the decision under review for the purposes of s.40 of the Act.</w:t>
      </w:r>
    </w:p>
    <w:p w14:paraId="2F29B696" w14:textId="47F0D254" w:rsidR="00291E5E" w:rsidRPr="00291E5E" w:rsidRDefault="00291E5E" w:rsidP="00EB5AF9">
      <w:pPr>
        <w:pStyle w:val="App42"/>
      </w:pPr>
      <w:r w:rsidRPr="00291E5E">
        <w:t>(5)</w:t>
      </w:r>
      <w:r w:rsidRPr="00291E5E">
        <w:tab/>
        <w:t>The reasons for the Tribunal</w:t>
      </w:r>
      <w:r w:rsidR="0050078B">
        <w:t>’</w:t>
      </w:r>
      <w:r w:rsidRPr="00291E5E">
        <w:t>s determination must not include or discuss a direction under s.44(2), s.44(2A) or s.44(2B) of the Act. The presiding member must inform the Tribunal Chairperson if the Tribunal intends to give such a direction.</w:t>
      </w:r>
    </w:p>
    <w:p w14:paraId="6E4E6152" w14:textId="2DD23558" w:rsidR="00291E5E" w:rsidRPr="00291E5E" w:rsidRDefault="00291E5E" w:rsidP="00EB5AF9">
      <w:pPr>
        <w:pStyle w:val="App42"/>
      </w:pPr>
      <w:r w:rsidRPr="00291E5E">
        <w:t>(6)</w:t>
      </w:r>
      <w:r w:rsidRPr="00291E5E">
        <w:tab/>
        <w:t>The presiding member shall seek to ensure that a draft determination is prepared within 4 weeks of the conclusion of a Tribunal</w:t>
      </w:r>
      <w:r w:rsidR="0050078B">
        <w:t>’</w:t>
      </w:r>
      <w:r w:rsidRPr="00291E5E">
        <w:t>s deliberations at the scheduled or re</w:t>
      </w:r>
      <w:r w:rsidR="0050078B">
        <w:noBreakHyphen/>
      </w:r>
      <w:r w:rsidRPr="00291E5E">
        <w:t>convened review meeting, for signing off within a further 4 weeks.</w:t>
      </w:r>
    </w:p>
    <w:p w14:paraId="4FF875E8" w14:textId="347676C5" w:rsidR="00291E5E" w:rsidRPr="00291E5E" w:rsidRDefault="00291E5E" w:rsidP="00EB5AF9">
      <w:pPr>
        <w:pStyle w:val="App42"/>
      </w:pPr>
      <w:r w:rsidRPr="00291E5E">
        <w:t>(7)</w:t>
      </w:r>
      <w:r w:rsidRPr="00291E5E">
        <w:tab/>
        <w:t>The date of signing is to be indicated at the end of the determination. The date on which the scheduled review meeting was held, and any date(s) on which the review meeting was re</w:t>
      </w:r>
      <w:r w:rsidR="0050078B">
        <w:noBreakHyphen/>
      </w:r>
      <w:r w:rsidRPr="00291E5E">
        <w:t>convened for further deliberations shall be listed on the cover page of the determination.</w:t>
      </w:r>
    </w:p>
    <w:p w14:paraId="09D02D83" w14:textId="77777777" w:rsidR="00291E5E" w:rsidRPr="00291E5E" w:rsidRDefault="00291E5E" w:rsidP="00EB5AF9">
      <w:pPr>
        <w:pStyle w:val="App42"/>
      </w:pPr>
      <w:r w:rsidRPr="00291E5E">
        <w:t>(8)</w:t>
      </w:r>
      <w:r w:rsidRPr="00291E5E">
        <w:tab/>
        <w:t>The date on which the determination is signed is the date on which the determination is made.</w:t>
      </w:r>
    </w:p>
    <w:p w14:paraId="39274A39" w14:textId="3B299D38" w:rsidR="00291E5E" w:rsidRPr="00EB5AF9" w:rsidRDefault="00291E5E" w:rsidP="00EB5AF9">
      <w:pPr>
        <w:pStyle w:val="App41"/>
      </w:pPr>
      <w:r w:rsidRPr="00EB5AF9">
        <w:t>Disagreement between Tribunal members</w:t>
      </w:r>
    </w:p>
    <w:p w14:paraId="33573623" w14:textId="77777777" w:rsidR="00291E5E" w:rsidRPr="00291E5E" w:rsidRDefault="00291E5E" w:rsidP="00EB5AF9">
      <w:pPr>
        <w:pStyle w:val="App42"/>
      </w:pPr>
      <w:r w:rsidRPr="00291E5E">
        <w:t>(1)</w:t>
      </w:r>
      <w:r w:rsidRPr="00291E5E">
        <w:tab/>
        <w:t>The presiding member shall ensure that the views of all Tribunal members that constitute the Tribunal in relation to the complaint are heard and considered at the review meeting, and that all reasonable steps are taken to achieve agreement to the determination and reasons.</w:t>
      </w:r>
    </w:p>
    <w:p w14:paraId="33C4B6DB" w14:textId="77777777" w:rsidR="00291E5E" w:rsidRPr="00291E5E" w:rsidRDefault="00291E5E" w:rsidP="00EB5AF9">
      <w:pPr>
        <w:pStyle w:val="App42"/>
      </w:pPr>
      <w:r w:rsidRPr="00291E5E">
        <w:t>(2)</w:t>
      </w:r>
      <w:r w:rsidRPr="00291E5E">
        <w:tab/>
        <w:t>Where a Tribunal is constituted by 2 Tribunal members, disagreement as to some of the reasoning but not as to the determination, may, by agreement of the Tribunal members constituting a Tribunal, be acknowledged from time to time within the wording of the reasons.</w:t>
      </w:r>
    </w:p>
    <w:p w14:paraId="1CA7B6BE" w14:textId="77777777" w:rsidR="00291E5E" w:rsidRPr="00291E5E" w:rsidRDefault="00291E5E" w:rsidP="00EB5AF9">
      <w:pPr>
        <w:pStyle w:val="App42"/>
      </w:pPr>
      <w:r w:rsidRPr="00291E5E">
        <w:t>(3)</w:t>
      </w:r>
      <w:r w:rsidRPr="00291E5E">
        <w:tab/>
        <w:t>Where a Tribunal is constituted by 2 Tribunal members and they disagree as to the determination, the decision of the presiding member is taken to be the decision of both of them.</w:t>
      </w:r>
    </w:p>
    <w:p w14:paraId="691A5FED" w14:textId="77777777" w:rsidR="00291E5E" w:rsidRPr="00291E5E" w:rsidRDefault="00291E5E" w:rsidP="00EB5AF9">
      <w:pPr>
        <w:pStyle w:val="App42"/>
      </w:pPr>
      <w:r w:rsidRPr="00291E5E">
        <w:lastRenderedPageBreak/>
        <w:t>(4)</w:t>
      </w:r>
      <w:r w:rsidRPr="00291E5E">
        <w:tab/>
        <w:t>A Tribunal member who is not the presiding member of a Tribunal constituted by 2 Tribunal members and who does not agree with the presiding member as to the determination to be made by the Tribunal may prepare, to the extent necessary, a separate statement of reasons which will be attached to and distributed with the determination and reasons of the presiding member.</w:t>
      </w:r>
    </w:p>
    <w:p w14:paraId="33DEFD30" w14:textId="77777777" w:rsidR="00291E5E" w:rsidRPr="00291E5E" w:rsidRDefault="00291E5E" w:rsidP="00B12301"/>
    <w:p w14:paraId="0CA3D81B" w14:textId="77777777" w:rsidR="00291E5E" w:rsidRPr="00291E5E" w:rsidRDefault="00291E5E" w:rsidP="00B12301">
      <w:r w:rsidRPr="00291E5E">
        <w:t>John Simpson</w:t>
      </w:r>
    </w:p>
    <w:p w14:paraId="04A64A18" w14:textId="77777777" w:rsidR="00291E5E" w:rsidRPr="00291E5E" w:rsidRDefault="00291E5E" w:rsidP="00B12301">
      <w:r w:rsidRPr="00291E5E">
        <w:t xml:space="preserve">Tribunal Chairperson </w:t>
      </w:r>
    </w:p>
    <w:p w14:paraId="7A753CBA" w14:textId="77777777" w:rsidR="00291E5E" w:rsidRPr="00291E5E" w:rsidRDefault="00291E5E" w:rsidP="00B12301">
      <w:pPr>
        <w:rPr>
          <w:b/>
          <w:highlight w:val="yellow"/>
        </w:rPr>
      </w:pPr>
      <w:r w:rsidRPr="00291E5E">
        <w:t>19 February 2020</w:t>
      </w:r>
    </w:p>
    <w:p w14:paraId="019AFAED" w14:textId="77777777" w:rsidR="00291E5E" w:rsidRPr="00291E5E" w:rsidRDefault="00291E5E" w:rsidP="00B12301">
      <w:pPr>
        <w:rPr>
          <w:highlight w:val="yellow"/>
        </w:rPr>
      </w:pPr>
      <w:r w:rsidRPr="00291E5E">
        <w:rPr>
          <w:highlight w:val="yellow"/>
        </w:rPr>
        <w:br w:type="page"/>
      </w:r>
    </w:p>
    <w:p w14:paraId="3198F9FD" w14:textId="7304E52A" w:rsidR="00291E5E" w:rsidRPr="00291E5E" w:rsidRDefault="00291E5E" w:rsidP="00D579F2">
      <w:pPr>
        <w:pStyle w:val="ARH2-Bodycopyheadinglevel1"/>
      </w:pPr>
      <w:r w:rsidRPr="00291E5E">
        <w:lastRenderedPageBreak/>
        <w:t xml:space="preserve">Appendix 5.0 </w:t>
      </w:r>
      <w:r w:rsidRPr="00291E5E">
        <w:tab/>
        <w:t>Conciliation attendance guidelines</w:t>
      </w:r>
    </w:p>
    <w:p w14:paraId="7986557B" w14:textId="64D753C0" w:rsidR="00291E5E" w:rsidRPr="00291E5E" w:rsidRDefault="00291E5E" w:rsidP="00D579F2">
      <w:pPr>
        <w:pStyle w:val="ARH3-Bodycopyheadinglevel1"/>
      </w:pPr>
      <w:r w:rsidRPr="00291E5E">
        <w:t>Purpose of the guidelines</w:t>
      </w:r>
    </w:p>
    <w:p w14:paraId="318A361D" w14:textId="74931706" w:rsidR="00291E5E" w:rsidRPr="00291E5E" w:rsidRDefault="00291E5E" w:rsidP="00B12301">
      <w:r w:rsidRPr="00291E5E">
        <w:t>These guidelines are published to assist in understanding the Tribunal</w:t>
      </w:r>
      <w:r w:rsidR="0050078B">
        <w:t>’</w:t>
      </w:r>
      <w:r w:rsidRPr="00291E5E">
        <w:t>s role in trying to resolve complaints through the conciliation process. The Tribunal is required by its governing legislation to formulate guidelines indicating the kind of circumstances in which it would ordinarily require persons to attend a conciliation conference. Attendance at a conference may, at the Tribunal</w:t>
      </w:r>
      <w:r w:rsidR="0050078B">
        <w:t>’</w:t>
      </w:r>
      <w:r w:rsidRPr="00291E5E">
        <w:t>s discretion be by telephone, in person or by any other means of communication.</w:t>
      </w:r>
    </w:p>
    <w:p w14:paraId="1E4AB5B4" w14:textId="45573A48" w:rsidR="00291E5E" w:rsidRPr="00291E5E" w:rsidRDefault="00291E5E" w:rsidP="00B12301">
      <w:r w:rsidRPr="00291E5E">
        <w:t>Conciliation by its very nature entails a consensual arrangement by the parties with the aim of reaching an agreement for resolution of the complaint. The Tribunal</w:t>
      </w:r>
      <w:r w:rsidR="0050078B">
        <w:t>’</w:t>
      </w:r>
      <w:r w:rsidRPr="00291E5E">
        <w:t>s conciliation process is a facilitative process. This means the Tribunal provides the forum for the parties to the complaint to engage in open discussion about the complaint with the aim of reaching an agreement.</w:t>
      </w:r>
    </w:p>
    <w:p w14:paraId="33297297" w14:textId="146ED09C" w:rsidR="00291E5E" w:rsidRPr="00291E5E" w:rsidRDefault="00291E5E" w:rsidP="00B12301">
      <w:r w:rsidRPr="00291E5E">
        <w:t>The Tribunal cannot compel the parties to reach agreement. The Tribunal</w:t>
      </w:r>
      <w:r w:rsidR="0050078B">
        <w:t>’</w:t>
      </w:r>
      <w:r w:rsidRPr="00291E5E">
        <w:t>s role is one of hosting the conference and providing assistance and information to the parties to arrive at an amicable settlement of the complaint or in narrowing the range of issues in the complaint.</w:t>
      </w:r>
    </w:p>
    <w:p w14:paraId="581DC72C" w14:textId="54443429" w:rsidR="00291E5E" w:rsidRPr="00291E5E" w:rsidRDefault="00291E5E" w:rsidP="00D579F2">
      <w:pPr>
        <w:pStyle w:val="ARH3-Bodycopyheadinglevel1"/>
      </w:pPr>
      <w:r w:rsidRPr="00291E5E">
        <w:t>Matters for the Tribunal to consider on the holding of a conciliation conference</w:t>
      </w:r>
    </w:p>
    <w:p w14:paraId="096EC54B" w14:textId="77777777" w:rsidR="00291E5E" w:rsidRPr="00291E5E" w:rsidRDefault="00291E5E" w:rsidP="00B12301">
      <w:r w:rsidRPr="00291E5E">
        <w:t>Where a complaint has been made to the Tribunal, provided the Tribunal has the power to deal with that complaint and it is not withdrawn, the Tribunal is required to try and settle the complaint through conciliation.</w:t>
      </w:r>
    </w:p>
    <w:p w14:paraId="79938DB5" w14:textId="77777777" w:rsidR="00291E5E" w:rsidRPr="00291E5E" w:rsidRDefault="00291E5E" w:rsidP="00B12301">
      <w:r w:rsidRPr="00291E5E">
        <w:t>The Tribunal may require the parties to the complaint or others whose presence is likely to be of assistance in settling the complaint to attend a conciliation conference. This will be done by written notice.</w:t>
      </w:r>
    </w:p>
    <w:p w14:paraId="2CB05330" w14:textId="0406090D" w:rsidR="00291E5E" w:rsidRPr="00291E5E" w:rsidRDefault="00291E5E" w:rsidP="00B12301">
      <w:r w:rsidRPr="00291E5E">
        <w:t xml:space="preserve">The Tribunal is also required to have regard to the objectives in section 11 of the SRC Act, which requires establishing mechanisms for the conciliation of complaints </w:t>
      </w:r>
      <w:r w:rsidR="0050078B">
        <w:t>“</w:t>
      </w:r>
      <w:r w:rsidRPr="00291E5E">
        <w:t>that are fair, economical, informal and quick.</w:t>
      </w:r>
      <w:r w:rsidR="0050078B">
        <w:t>”</w:t>
      </w:r>
    </w:p>
    <w:p w14:paraId="03742ACA" w14:textId="6F4413DE" w:rsidR="00291E5E" w:rsidRPr="00291E5E" w:rsidRDefault="00291E5E" w:rsidP="00D579F2">
      <w:pPr>
        <w:pStyle w:val="ARH3-Bodycopyheadinglevel1"/>
      </w:pPr>
      <w:r w:rsidRPr="00291E5E">
        <w:t>Typical circumstances requiring attendance at a conciliation conference</w:t>
      </w:r>
    </w:p>
    <w:p w14:paraId="1A9A2C66" w14:textId="77777777" w:rsidR="00291E5E" w:rsidRPr="00EB5AF9" w:rsidRDefault="00291E5E" w:rsidP="00EB5AF9">
      <w:pPr>
        <w:pStyle w:val="ARH4-Bodycopyheadinglevel2"/>
      </w:pPr>
      <w:r w:rsidRPr="00EB5AF9">
        <w:t>Death benefit distribution</w:t>
      </w:r>
    </w:p>
    <w:p w14:paraId="27A6148E" w14:textId="77777777" w:rsidR="00291E5E" w:rsidRPr="00291E5E" w:rsidRDefault="00291E5E" w:rsidP="00B12301">
      <w:r w:rsidRPr="00291E5E">
        <w:t>If a person makes a complaint to the Tribunal about a decision of a trustee of a regulated superannuation fund to distribute a death benefit in a particular way, the Tribunal would make inquiries and obtain relevant information from the trustee and any other party involved in the matter. The Tribunal would normally proceed with a conciliation conference.</w:t>
      </w:r>
    </w:p>
    <w:p w14:paraId="296F5AB6" w14:textId="77777777" w:rsidR="00291E5E" w:rsidRPr="00EB5AF9" w:rsidRDefault="00291E5E" w:rsidP="00EB5AF9">
      <w:pPr>
        <w:pStyle w:val="ARH4-Bodycopyheadinglevel2"/>
      </w:pPr>
      <w:r w:rsidRPr="00EB5AF9">
        <w:t>Disability benefits</w:t>
      </w:r>
    </w:p>
    <w:p w14:paraId="2FF7CAC4" w14:textId="78BCDA77" w:rsidR="00291E5E" w:rsidRPr="00291E5E" w:rsidRDefault="00291E5E" w:rsidP="00B12301">
      <w:r w:rsidRPr="00291E5E">
        <w:t>In a complaint relating to a claim for a disability benefit that is declined on its merits, the Tribunal would normally schedule a conciliation conference. With a technical or complex matter, such as alleged entitlement to insurance cover or alleged non</w:t>
      </w:r>
      <w:r w:rsidR="0050078B">
        <w:noBreakHyphen/>
      </w:r>
      <w:r w:rsidRPr="00291E5E">
        <w:t>disclosure of a pre</w:t>
      </w:r>
      <w:r w:rsidR="0050078B">
        <w:noBreakHyphen/>
      </w:r>
      <w:r w:rsidRPr="00291E5E">
        <w:t xml:space="preserve">existing medical condition by the complainant, the Tribunal may make appropriate </w:t>
      </w:r>
      <w:r w:rsidRPr="00291E5E">
        <w:lastRenderedPageBreak/>
        <w:t>inquiry of the trustee and/or insurer with a view to proceeding to a conference for the purpose of narrowing the disputed issue(s) and/or clarification of the evidentiary matters.</w:t>
      </w:r>
    </w:p>
    <w:p w14:paraId="502A8217" w14:textId="77777777" w:rsidR="00291E5E" w:rsidRPr="00291E5E" w:rsidRDefault="00291E5E" w:rsidP="00EB5AF9">
      <w:pPr>
        <w:pStyle w:val="ARH4-Bodycopyheadinglevel2"/>
      </w:pPr>
      <w:r w:rsidRPr="00291E5E">
        <w:t>Administrative actions, disclosure issues etc.</w:t>
      </w:r>
    </w:p>
    <w:p w14:paraId="09CD91BD" w14:textId="3CD72612" w:rsidR="00291E5E" w:rsidRDefault="00291E5E" w:rsidP="00B12301">
      <w:r w:rsidRPr="00291E5E">
        <w:t>Decisions by trustees and other decision makers comprising administrative action, account balance advice, benefit calculation, rollover request, account interest crediting and disclosure issues relating to the provision of information and advice (just to mention some), are matters ordinarily regarded as appropriate to the conciliation process.</w:t>
      </w:r>
    </w:p>
    <w:p w14:paraId="33EF874B" w14:textId="77777777" w:rsidR="00291E5E" w:rsidRPr="00291E5E" w:rsidRDefault="00291E5E" w:rsidP="00EB5AF9">
      <w:pPr>
        <w:pStyle w:val="ARH4-Bodycopyheadinglevel2"/>
      </w:pPr>
      <w:r w:rsidRPr="00291E5E">
        <w:t>What procedures does the Tribunal follow relating to conciliation conferences?</w:t>
      </w:r>
    </w:p>
    <w:p w14:paraId="072629CE" w14:textId="77777777" w:rsidR="00291E5E" w:rsidRPr="00291E5E" w:rsidRDefault="00291E5E" w:rsidP="00B12301">
      <w:r w:rsidRPr="00291E5E">
        <w:t>The following steps will be taken:</w:t>
      </w:r>
    </w:p>
    <w:p w14:paraId="5E1E8A58" w14:textId="53ED9A99" w:rsidR="00291E5E" w:rsidRPr="00291E5E" w:rsidRDefault="00291E5E" w:rsidP="009B68BF">
      <w:pPr>
        <w:pStyle w:val="ARNumberedList"/>
      </w:pPr>
      <w:r w:rsidRPr="00291E5E">
        <w:t>The parties will be notified of the proposed conciliation conference in writing.</w:t>
      </w:r>
    </w:p>
    <w:p w14:paraId="54AE28E2" w14:textId="2E1C380B" w:rsidR="00291E5E" w:rsidRPr="00291E5E" w:rsidRDefault="00291E5E" w:rsidP="009B68BF">
      <w:pPr>
        <w:pStyle w:val="ARNumberedList"/>
      </w:pPr>
      <w:r w:rsidRPr="00291E5E">
        <w:t>In the event of a party expressing disagreement with proceeding to a conference, then the Tribunal will consider the reasons offered before deciding whether or not to proceed with the conference.</w:t>
      </w:r>
    </w:p>
    <w:p w14:paraId="38635AEA" w14:textId="74BAD40D" w:rsidR="00291E5E" w:rsidRPr="00291E5E" w:rsidRDefault="00291E5E" w:rsidP="009B68BF">
      <w:pPr>
        <w:pStyle w:val="ARNumberedList"/>
      </w:pPr>
      <w:r w:rsidRPr="00291E5E">
        <w:t>Because of the varied locations of the parties, the conferences will, unless otherwise decided by the Tribunal, be conducted by telephone.</w:t>
      </w:r>
    </w:p>
    <w:p w14:paraId="56A3A3AA" w14:textId="73678909" w:rsidR="00291E5E" w:rsidRPr="00291E5E" w:rsidRDefault="00291E5E" w:rsidP="009B68BF">
      <w:pPr>
        <w:pStyle w:val="ARNumberedList"/>
      </w:pPr>
      <w:r w:rsidRPr="00291E5E">
        <w:t>Documents as to factual events and medical reports where relevant to a matter, may be provided by the Tribunal to the parties prior to the holding of a conference.</w:t>
      </w:r>
    </w:p>
    <w:p w14:paraId="5ECA96BC" w14:textId="424DC890" w:rsidR="00291E5E" w:rsidRPr="00291E5E" w:rsidRDefault="00291E5E" w:rsidP="009B68BF">
      <w:pPr>
        <w:pStyle w:val="ARNumberedList"/>
      </w:pPr>
      <w:r w:rsidRPr="00291E5E">
        <w:t>When a conference results in resolution of the complaint or an undertaking being given by one of the parties to conduct further enquiry or obtain further reports, the Tribunal will confirm the outcome in writing to all parties.</w:t>
      </w:r>
    </w:p>
    <w:p w14:paraId="1D058C4E" w14:textId="06C0FF4E" w:rsidR="00291E5E" w:rsidRPr="00291E5E" w:rsidRDefault="00291E5E" w:rsidP="009B68BF">
      <w:pPr>
        <w:pStyle w:val="ARNumberedList"/>
      </w:pPr>
      <w:r w:rsidRPr="00291E5E">
        <w:t xml:space="preserve">There is a presumption against representation contained in section 23 of the </w:t>
      </w:r>
      <w:r w:rsidRPr="009B68BF">
        <w:rPr>
          <w:i/>
          <w:iCs/>
        </w:rPr>
        <w:t>Superannuation (Resolution of Complaints) Act 1993</w:t>
      </w:r>
      <w:r w:rsidRPr="00291E5E">
        <w:t xml:space="preserve">, except where the complainant has a disability (as defined in the </w:t>
      </w:r>
      <w:r w:rsidRPr="009B68BF">
        <w:rPr>
          <w:i/>
          <w:iCs/>
        </w:rPr>
        <w:t>Disability Discrimination Act 1992</w:t>
      </w:r>
      <w:r w:rsidRPr="00291E5E">
        <w:t xml:space="preserve">) or where the Tribunal </w:t>
      </w:r>
      <w:r w:rsidR="0050078B">
        <w:t>“</w:t>
      </w:r>
      <w:r w:rsidRPr="00291E5E">
        <w:t>considers it necessary in all the circumstances</w:t>
      </w:r>
      <w:r w:rsidR="0050078B">
        <w:t>”</w:t>
      </w:r>
      <w:r w:rsidRPr="00291E5E">
        <w:t>. Where the Tribunal has, prior to the holding of a conference, exercised its discretion to allow an individual to be represented by an agent (which term extends to include legal representation), then the individual may be represented by that agent. Where no application to the Tribunal has been made for representation, then a person wishing to be represented at a conference must either seek the Trustee</w:t>
      </w:r>
      <w:r w:rsidR="0050078B">
        <w:t>’</w:t>
      </w:r>
      <w:r w:rsidRPr="00291E5E">
        <w:t>s agreement in advance, or at least have the arrangement agreed in advance with all of the other parties to the conference. Where the Tribunal has refused representation by an agent then the person must participate directly.</w:t>
      </w:r>
    </w:p>
    <w:p w14:paraId="78E45649" w14:textId="77777777" w:rsidR="00291E5E" w:rsidRPr="00291E5E" w:rsidRDefault="00291E5E" w:rsidP="009B68BF">
      <w:pPr>
        <w:ind w:left="284"/>
      </w:pPr>
      <w:r w:rsidRPr="00291E5E">
        <w:t>[Note: For those parties who have been given leave by the Tribunal to be legally represented, the Tribunal has no power to award costs, i.e. any party who has legal representation at a conference before the Tribunal must to bear their own legal costs.]</w:t>
      </w:r>
    </w:p>
    <w:p w14:paraId="6ACF396F" w14:textId="77777777" w:rsidR="00291E5E" w:rsidRPr="00291E5E" w:rsidRDefault="00291E5E" w:rsidP="00EB5AF9">
      <w:pPr>
        <w:pStyle w:val="ARH4-Bodycopyheadinglevel2"/>
      </w:pPr>
      <w:r w:rsidRPr="00291E5E">
        <w:t>Failure to attend a conference</w:t>
      </w:r>
    </w:p>
    <w:p w14:paraId="2ADB4E89" w14:textId="77777777" w:rsidR="00291E5E" w:rsidRPr="00291E5E" w:rsidRDefault="00291E5E" w:rsidP="00B12301">
      <w:r w:rsidRPr="00291E5E">
        <w:t xml:space="preserve">If a complainant fails to attend the conference, the Tribunal may treat the complaint as if it had been withdrawn by the complainant under section 21 of the SRC Act. </w:t>
      </w:r>
    </w:p>
    <w:p w14:paraId="449D424C" w14:textId="77777777" w:rsidR="00EB5AF9" w:rsidRDefault="00291E5E" w:rsidP="00B12301">
      <w:r w:rsidRPr="00291E5E">
        <w:lastRenderedPageBreak/>
        <w:t>A person other than a complainant commits an offence if they fail to attend the conference when required to do so. The penalty is 30 penalty units or imprisonment for six months.</w:t>
      </w:r>
    </w:p>
    <w:p w14:paraId="21E570D7" w14:textId="4492019B" w:rsidR="00291E5E" w:rsidRPr="00291E5E" w:rsidRDefault="00291E5E" w:rsidP="00D579F2">
      <w:pPr>
        <w:pStyle w:val="ARH2-Bodycopyheadinglevel1"/>
      </w:pPr>
      <w:r w:rsidRPr="00291E5E">
        <w:t xml:space="preserve">Appendix 6.0  </w:t>
      </w:r>
      <w:r w:rsidRPr="00291E5E">
        <w:tab/>
        <w:t xml:space="preserve">Delegations </w:t>
      </w:r>
    </w:p>
    <w:p w14:paraId="362B74CD" w14:textId="77777777" w:rsidR="00291E5E" w:rsidRPr="00291E5E" w:rsidRDefault="00291E5E" w:rsidP="00B12301">
      <w:r w:rsidRPr="00291E5E">
        <w:t>Instrument of Authorisation under subsection 59(1) of the Superannuation (Resolution of Complaints) Act 1993</w:t>
      </w:r>
    </w:p>
    <w:p w14:paraId="3C2CB603" w14:textId="60C4BBFB" w:rsidR="00291E5E" w:rsidRPr="00291E5E" w:rsidRDefault="00291E5E" w:rsidP="00B12301">
      <w:r w:rsidRPr="00291E5E">
        <w:t>I, John Simpson, Chairperson of the Superannuation Complaints Tribunal appointed from 16</w:t>
      </w:r>
      <w:r w:rsidR="00EB5AF9">
        <w:t> </w:t>
      </w:r>
      <w:r w:rsidRPr="00291E5E">
        <w:t xml:space="preserve">December 2019, pursuant to subsection 59(1) of the </w:t>
      </w:r>
      <w:r w:rsidRPr="00291E5E">
        <w:rPr>
          <w:i/>
          <w:iCs/>
        </w:rPr>
        <w:t xml:space="preserve">Superannuation (Resolution of Complaints) Act </w:t>
      </w:r>
      <w:r w:rsidRPr="00291E5E">
        <w:rPr>
          <w:i/>
        </w:rPr>
        <w:t>1993</w:t>
      </w:r>
      <w:r w:rsidRPr="00291E5E">
        <w:t>, authorise members of staff of the Tribunal holding a position that is included in a category of positions identified in Column 2 of the Table to exercise the powers of the Tribunal identified in respect of that category in Column 1 of the Table.</w:t>
      </w:r>
    </w:p>
    <w:p w14:paraId="741F1A1F" w14:textId="77777777" w:rsidR="00291E5E" w:rsidRPr="00291E5E" w:rsidRDefault="00291E5E" w:rsidP="00B12301">
      <w:pPr>
        <w:pStyle w:val="ARTableFigureTitle"/>
      </w:pPr>
      <w:r w:rsidRPr="00291E5E">
        <w:t>Table 4.1 Category of Positions to exercise Tribunal powers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3"/>
        <w:gridCol w:w="1145"/>
        <w:gridCol w:w="1002"/>
        <w:gridCol w:w="1002"/>
        <w:gridCol w:w="1145"/>
        <w:gridCol w:w="1003"/>
      </w:tblGrid>
      <w:tr w:rsidR="00291E5E" w:rsidRPr="00291E5E" w14:paraId="016A7172" w14:textId="77777777" w:rsidTr="009B68BF">
        <w:trPr>
          <w:tblHeader/>
        </w:trPr>
        <w:tc>
          <w:tcPr>
            <w:tcW w:w="3678" w:type="dxa"/>
            <w:shd w:val="clear" w:color="auto" w:fill="0072CE"/>
          </w:tcPr>
          <w:p w14:paraId="683A0A59" w14:textId="77777777" w:rsidR="00291E5E" w:rsidRPr="00291E5E" w:rsidRDefault="00291E5E" w:rsidP="00B12301">
            <w:pPr>
              <w:pStyle w:val="ARTableHeader"/>
            </w:pPr>
            <w:r w:rsidRPr="00291E5E">
              <w:t>Column 1</w:t>
            </w:r>
          </w:p>
        </w:tc>
        <w:tc>
          <w:tcPr>
            <w:tcW w:w="5245" w:type="dxa"/>
            <w:gridSpan w:val="5"/>
            <w:shd w:val="clear" w:color="auto" w:fill="0072CE"/>
          </w:tcPr>
          <w:p w14:paraId="15ABF88A" w14:textId="77777777" w:rsidR="00291E5E" w:rsidRPr="00291E5E" w:rsidRDefault="00291E5E" w:rsidP="00B12301">
            <w:pPr>
              <w:pStyle w:val="ARTableHeader"/>
            </w:pPr>
            <w:r w:rsidRPr="00291E5E">
              <w:t>Column 2</w:t>
            </w:r>
          </w:p>
        </w:tc>
      </w:tr>
      <w:tr w:rsidR="00291E5E" w:rsidRPr="00291E5E" w14:paraId="244B1948" w14:textId="77777777" w:rsidTr="009B68BF">
        <w:trPr>
          <w:tblHeader/>
        </w:trPr>
        <w:tc>
          <w:tcPr>
            <w:tcW w:w="3678" w:type="dxa"/>
            <w:shd w:val="clear" w:color="auto" w:fill="0072CE"/>
          </w:tcPr>
          <w:p w14:paraId="6B8ED570" w14:textId="77777777" w:rsidR="00291E5E" w:rsidRPr="00291E5E" w:rsidRDefault="00291E5E" w:rsidP="00B12301">
            <w:pPr>
              <w:pStyle w:val="ARTableHeader"/>
            </w:pPr>
            <w:r w:rsidRPr="00291E5E">
              <w:t>Power</w:t>
            </w:r>
          </w:p>
        </w:tc>
        <w:tc>
          <w:tcPr>
            <w:tcW w:w="1134" w:type="dxa"/>
            <w:shd w:val="clear" w:color="auto" w:fill="0072CE"/>
          </w:tcPr>
          <w:p w14:paraId="619F1E46" w14:textId="77777777" w:rsidR="00291E5E" w:rsidRPr="00291E5E" w:rsidRDefault="00291E5E" w:rsidP="00B12301">
            <w:pPr>
              <w:pStyle w:val="ARTableHeader"/>
            </w:pPr>
            <w:r w:rsidRPr="00291E5E">
              <w:t>EL2</w:t>
            </w:r>
          </w:p>
        </w:tc>
        <w:tc>
          <w:tcPr>
            <w:tcW w:w="992" w:type="dxa"/>
            <w:shd w:val="clear" w:color="auto" w:fill="0072CE"/>
          </w:tcPr>
          <w:p w14:paraId="30596116" w14:textId="77777777" w:rsidR="00291E5E" w:rsidRPr="00291E5E" w:rsidRDefault="00291E5E" w:rsidP="00B12301">
            <w:pPr>
              <w:pStyle w:val="ARTableHeader"/>
            </w:pPr>
            <w:r w:rsidRPr="00291E5E">
              <w:t>EL1</w:t>
            </w:r>
          </w:p>
        </w:tc>
        <w:tc>
          <w:tcPr>
            <w:tcW w:w="992" w:type="dxa"/>
            <w:shd w:val="clear" w:color="auto" w:fill="0072CE"/>
          </w:tcPr>
          <w:p w14:paraId="6FEE53EB" w14:textId="77777777" w:rsidR="00291E5E" w:rsidRPr="00291E5E" w:rsidRDefault="00291E5E" w:rsidP="00B12301">
            <w:pPr>
              <w:pStyle w:val="ARTableHeader"/>
            </w:pPr>
            <w:r w:rsidRPr="00291E5E">
              <w:t>ASIC 4</w:t>
            </w:r>
          </w:p>
        </w:tc>
        <w:tc>
          <w:tcPr>
            <w:tcW w:w="1134" w:type="dxa"/>
            <w:shd w:val="clear" w:color="auto" w:fill="0072CE"/>
          </w:tcPr>
          <w:p w14:paraId="251650CA" w14:textId="77777777" w:rsidR="00291E5E" w:rsidRPr="00291E5E" w:rsidRDefault="00291E5E" w:rsidP="00B12301">
            <w:pPr>
              <w:pStyle w:val="ARTableHeader"/>
            </w:pPr>
            <w:r w:rsidRPr="00291E5E">
              <w:t>ASIC 3</w:t>
            </w:r>
          </w:p>
        </w:tc>
        <w:tc>
          <w:tcPr>
            <w:tcW w:w="993" w:type="dxa"/>
            <w:shd w:val="clear" w:color="auto" w:fill="0072CE"/>
          </w:tcPr>
          <w:p w14:paraId="642616F1" w14:textId="77777777" w:rsidR="00291E5E" w:rsidRPr="00291E5E" w:rsidRDefault="00291E5E" w:rsidP="00B12301">
            <w:pPr>
              <w:pStyle w:val="ARTableHeader"/>
            </w:pPr>
            <w:r w:rsidRPr="00291E5E">
              <w:t>ASIC 2</w:t>
            </w:r>
          </w:p>
        </w:tc>
      </w:tr>
      <w:tr w:rsidR="00291E5E" w:rsidRPr="00291E5E" w14:paraId="22223708" w14:textId="77777777" w:rsidTr="009B68BF">
        <w:tc>
          <w:tcPr>
            <w:tcW w:w="3678" w:type="dxa"/>
          </w:tcPr>
          <w:p w14:paraId="0B362E05" w14:textId="1EF3CF53" w:rsidR="00291E5E" w:rsidRPr="00291E5E" w:rsidRDefault="00291E5E" w:rsidP="00EB5AF9">
            <w:pPr>
              <w:pStyle w:val="ARTableText"/>
            </w:pPr>
            <w:r w:rsidRPr="00291E5E">
              <w:t>s12(1)(a) to inquire into complaint and try to resolve by</w:t>
            </w:r>
            <w:r w:rsidR="00EB5AF9">
              <w:t xml:space="preserve"> </w:t>
            </w:r>
            <w:r w:rsidRPr="00291E5E">
              <w:t>conciliation</w:t>
            </w:r>
          </w:p>
        </w:tc>
        <w:tc>
          <w:tcPr>
            <w:tcW w:w="1134" w:type="dxa"/>
            <w:vAlign w:val="center"/>
          </w:tcPr>
          <w:p w14:paraId="0FB4DB17" w14:textId="77777777" w:rsidR="00291E5E" w:rsidRPr="00291E5E" w:rsidRDefault="00291E5E" w:rsidP="00EB5AF9">
            <w:pPr>
              <w:pStyle w:val="ARTableText"/>
              <w:jc w:val="center"/>
            </w:pPr>
            <w:r w:rsidRPr="00291E5E">
              <w:t>●</w:t>
            </w:r>
          </w:p>
        </w:tc>
        <w:tc>
          <w:tcPr>
            <w:tcW w:w="992" w:type="dxa"/>
            <w:vAlign w:val="center"/>
          </w:tcPr>
          <w:p w14:paraId="1E24B8C7" w14:textId="0A655E46" w:rsidR="00291E5E" w:rsidRPr="00291E5E" w:rsidRDefault="00291E5E" w:rsidP="00EB5AF9">
            <w:pPr>
              <w:pStyle w:val="ARTableText"/>
              <w:jc w:val="center"/>
            </w:pPr>
            <w:r w:rsidRPr="00291E5E">
              <w:t>●</w:t>
            </w:r>
          </w:p>
        </w:tc>
        <w:tc>
          <w:tcPr>
            <w:tcW w:w="992" w:type="dxa"/>
            <w:vAlign w:val="center"/>
          </w:tcPr>
          <w:p w14:paraId="6EC366CB" w14:textId="723E768D" w:rsidR="00291E5E" w:rsidRPr="00291E5E" w:rsidRDefault="00291E5E" w:rsidP="00EB5AF9">
            <w:pPr>
              <w:pStyle w:val="ARTableText"/>
              <w:jc w:val="center"/>
            </w:pPr>
            <w:r w:rsidRPr="00291E5E">
              <w:t>●</w:t>
            </w:r>
          </w:p>
        </w:tc>
        <w:tc>
          <w:tcPr>
            <w:tcW w:w="1134" w:type="dxa"/>
            <w:vAlign w:val="center"/>
          </w:tcPr>
          <w:p w14:paraId="2D77E8F4" w14:textId="6156EDAA" w:rsidR="00291E5E" w:rsidRPr="00291E5E" w:rsidRDefault="00291E5E" w:rsidP="00EB5AF9">
            <w:pPr>
              <w:pStyle w:val="ARTableText"/>
              <w:jc w:val="center"/>
            </w:pPr>
            <w:r w:rsidRPr="00291E5E">
              <w:t>●</w:t>
            </w:r>
          </w:p>
        </w:tc>
        <w:tc>
          <w:tcPr>
            <w:tcW w:w="993" w:type="dxa"/>
            <w:vAlign w:val="center"/>
          </w:tcPr>
          <w:p w14:paraId="6C30AB22" w14:textId="77777777" w:rsidR="00291E5E" w:rsidRPr="00291E5E" w:rsidRDefault="00291E5E" w:rsidP="00EB5AF9">
            <w:pPr>
              <w:pStyle w:val="ARTableText"/>
              <w:jc w:val="center"/>
            </w:pPr>
          </w:p>
        </w:tc>
      </w:tr>
      <w:tr w:rsidR="00291E5E" w:rsidRPr="00291E5E" w14:paraId="36F6E156" w14:textId="77777777" w:rsidTr="009B68BF">
        <w:tc>
          <w:tcPr>
            <w:tcW w:w="3678" w:type="dxa"/>
          </w:tcPr>
          <w:p w14:paraId="15A5F52A" w14:textId="77777777" w:rsidR="00291E5E" w:rsidRPr="00291E5E" w:rsidRDefault="00291E5E" w:rsidP="00B12301">
            <w:pPr>
              <w:pStyle w:val="ARTableText"/>
            </w:pPr>
            <w:r w:rsidRPr="00291E5E">
              <w:t>s13 to prepare and make available memorandum explaining how complaints dealt with</w:t>
            </w:r>
          </w:p>
        </w:tc>
        <w:tc>
          <w:tcPr>
            <w:tcW w:w="1134" w:type="dxa"/>
            <w:vAlign w:val="center"/>
          </w:tcPr>
          <w:p w14:paraId="1CF7E80C" w14:textId="77777777" w:rsidR="00291E5E" w:rsidRPr="00291E5E" w:rsidRDefault="00291E5E" w:rsidP="00EB5AF9">
            <w:pPr>
              <w:pStyle w:val="ARTableText"/>
              <w:jc w:val="center"/>
            </w:pPr>
            <w:r w:rsidRPr="00291E5E">
              <w:t>●</w:t>
            </w:r>
          </w:p>
        </w:tc>
        <w:tc>
          <w:tcPr>
            <w:tcW w:w="992" w:type="dxa"/>
            <w:vAlign w:val="center"/>
          </w:tcPr>
          <w:p w14:paraId="6D8DD71E" w14:textId="77777777" w:rsidR="00291E5E" w:rsidRPr="00291E5E" w:rsidRDefault="00291E5E" w:rsidP="00EB5AF9">
            <w:pPr>
              <w:pStyle w:val="ARTableText"/>
              <w:jc w:val="center"/>
            </w:pPr>
          </w:p>
        </w:tc>
        <w:tc>
          <w:tcPr>
            <w:tcW w:w="992" w:type="dxa"/>
            <w:vAlign w:val="center"/>
          </w:tcPr>
          <w:p w14:paraId="75829407" w14:textId="77777777" w:rsidR="00291E5E" w:rsidRPr="00291E5E" w:rsidRDefault="00291E5E" w:rsidP="00EB5AF9">
            <w:pPr>
              <w:pStyle w:val="ARTableText"/>
              <w:jc w:val="center"/>
            </w:pPr>
          </w:p>
        </w:tc>
        <w:tc>
          <w:tcPr>
            <w:tcW w:w="1134" w:type="dxa"/>
            <w:vAlign w:val="center"/>
          </w:tcPr>
          <w:p w14:paraId="2D75D3BE" w14:textId="77777777" w:rsidR="00291E5E" w:rsidRPr="00291E5E" w:rsidRDefault="00291E5E" w:rsidP="00EB5AF9">
            <w:pPr>
              <w:pStyle w:val="ARTableText"/>
              <w:jc w:val="center"/>
            </w:pPr>
          </w:p>
        </w:tc>
        <w:tc>
          <w:tcPr>
            <w:tcW w:w="993" w:type="dxa"/>
            <w:vAlign w:val="center"/>
          </w:tcPr>
          <w:p w14:paraId="1C48FBF7" w14:textId="77777777" w:rsidR="00291E5E" w:rsidRPr="00291E5E" w:rsidRDefault="00291E5E" w:rsidP="00EB5AF9">
            <w:pPr>
              <w:pStyle w:val="ARTableText"/>
              <w:jc w:val="center"/>
            </w:pPr>
          </w:p>
        </w:tc>
      </w:tr>
      <w:tr w:rsidR="00291E5E" w:rsidRPr="00291E5E" w14:paraId="2213EB72" w14:textId="77777777" w:rsidTr="009B68BF">
        <w:tc>
          <w:tcPr>
            <w:tcW w:w="3678" w:type="dxa"/>
          </w:tcPr>
          <w:p w14:paraId="382F7955" w14:textId="77777777" w:rsidR="00291E5E" w:rsidRPr="00291E5E" w:rsidRDefault="00291E5E" w:rsidP="00B12301">
            <w:pPr>
              <w:pStyle w:val="ARTableText"/>
            </w:pPr>
            <w:r w:rsidRPr="00291E5E">
              <w:t>s16 to help complainants to make their complaints</w:t>
            </w:r>
          </w:p>
        </w:tc>
        <w:tc>
          <w:tcPr>
            <w:tcW w:w="1134" w:type="dxa"/>
            <w:vAlign w:val="center"/>
          </w:tcPr>
          <w:p w14:paraId="3027C575" w14:textId="77777777" w:rsidR="00291E5E" w:rsidRPr="00291E5E" w:rsidRDefault="00291E5E" w:rsidP="00EB5AF9">
            <w:pPr>
              <w:pStyle w:val="ARTableText"/>
              <w:jc w:val="center"/>
            </w:pPr>
            <w:r w:rsidRPr="00291E5E">
              <w:t>●</w:t>
            </w:r>
          </w:p>
        </w:tc>
        <w:tc>
          <w:tcPr>
            <w:tcW w:w="992" w:type="dxa"/>
            <w:vAlign w:val="center"/>
          </w:tcPr>
          <w:p w14:paraId="3A3EC962" w14:textId="2E2636D4" w:rsidR="00291E5E" w:rsidRPr="00291E5E" w:rsidRDefault="00291E5E" w:rsidP="00EB5AF9">
            <w:pPr>
              <w:pStyle w:val="ARTableText"/>
              <w:jc w:val="center"/>
            </w:pPr>
            <w:r w:rsidRPr="00291E5E">
              <w:t>●</w:t>
            </w:r>
          </w:p>
        </w:tc>
        <w:tc>
          <w:tcPr>
            <w:tcW w:w="992" w:type="dxa"/>
            <w:vAlign w:val="center"/>
          </w:tcPr>
          <w:p w14:paraId="7ACE37CD" w14:textId="0B122B1A" w:rsidR="00291E5E" w:rsidRPr="00291E5E" w:rsidRDefault="00291E5E" w:rsidP="00EB5AF9">
            <w:pPr>
              <w:pStyle w:val="ARTableText"/>
              <w:jc w:val="center"/>
            </w:pPr>
            <w:r w:rsidRPr="00291E5E">
              <w:t>●</w:t>
            </w:r>
          </w:p>
        </w:tc>
        <w:tc>
          <w:tcPr>
            <w:tcW w:w="1134" w:type="dxa"/>
            <w:vAlign w:val="center"/>
          </w:tcPr>
          <w:p w14:paraId="2B8C1DA2" w14:textId="77777777" w:rsidR="00291E5E" w:rsidRPr="00291E5E" w:rsidRDefault="00291E5E" w:rsidP="00EB5AF9">
            <w:pPr>
              <w:pStyle w:val="ARTableText"/>
              <w:jc w:val="center"/>
            </w:pPr>
            <w:r w:rsidRPr="00291E5E">
              <w:t>●</w:t>
            </w:r>
          </w:p>
        </w:tc>
        <w:tc>
          <w:tcPr>
            <w:tcW w:w="993" w:type="dxa"/>
            <w:vAlign w:val="center"/>
          </w:tcPr>
          <w:p w14:paraId="3C910259" w14:textId="77777777" w:rsidR="00291E5E" w:rsidRPr="00291E5E" w:rsidRDefault="00291E5E" w:rsidP="00EB5AF9">
            <w:pPr>
              <w:pStyle w:val="ARTableText"/>
              <w:jc w:val="center"/>
            </w:pPr>
            <w:r w:rsidRPr="00291E5E">
              <w:t>●</w:t>
            </w:r>
          </w:p>
        </w:tc>
      </w:tr>
      <w:tr w:rsidR="00291E5E" w:rsidRPr="00291E5E" w14:paraId="634AC7AC" w14:textId="77777777" w:rsidTr="009B68BF">
        <w:tc>
          <w:tcPr>
            <w:tcW w:w="3678" w:type="dxa"/>
          </w:tcPr>
          <w:p w14:paraId="713C4974" w14:textId="77777777" w:rsidR="00291E5E" w:rsidRPr="00291E5E" w:rsidRDefault="00291E5E" w:rsidP="00B12301">
            <w:pPr>
              <w:pStyle w:val="ARTableText"/>
            </w:pPr>
            <w:r w:rsidRPr="00291E5E">
              <w:t>s17 to give written notice when complaint received</w:t>
            </w:r>
          </w:p>
        </w:tc>
        <w:tc>
          <w:tcPr>
            <w:tcW w:w="1134" w:type="dxa"/>
            <w:vAlign w:val="center"/>
          </w:tcPr>
          <w:p w14:paraId="62023DA2" w14:textId="2BEE43D3" w:rsidR="00291E5E" w:rsidRPr="00291E5E" w:rsidRDefault="00291E5E" w:rsidP="00EB5AF9">
            <w:pPr>
              <w:pStyle w:val="ARTableText"/>
              <w:jc w:val="center"/>
            </w:pPr>
            <w:r w:rsidRPr="00291E5E">
              <w:t>●</w:t>
            </w:r>
          </w:p>
        </w:tc>
        <w:tc>
          <w:tcPr>
            <w:tcW w:w="992" w:type="dxa"/>
            <w:vAlign w:val="center"/>
          </w:tcPr>
          <w:p w14:paraId="76222171" w14:textId="1548FBBD" w:rsidR="00291E5E" w:rsidRPr="00291E5E" w:rsidRDefault="00291E5E" w:rsidP="00EB5AF9">
            <w:pPr>
              <w:pStyle w:val="ARTableText"/>
              <w:jc w:val="center"/>
            </w:pPr>
            <w:r w:rsidRPr="00291E5E">
              <w:t>●</w:t>
            </w:r>
          </w:p>
        </w:tc>
        <w:tc>
          <w:tcPr>
            <w:tcW w:w="992" w:type="dxa"/>
            <w:vAlign w:val="center"/>
          </w:tcPr>
          <w:p w14:paraId="6CC41D93" w14:textId="530C2DE1" w:rsidR="00291E5E" w:rsidRPr="00291E5E" w:rsidRDefault="00291E5E" w:rsidP="00EB5AF9">
            <w:pPr>
              <w:pStyle w:val="ARTableText"/>
              <w:jc w:val="center"/>
            </w:pPr>
            <w:r w:rsidRPr="00291E5E">
              <w:t>●</w:t>
            </w:r>
          </w:p>
        </w:tc>
        <w:tc>
          <w:tcPr>
            <w:tcW w:w="1134" w:type="dxa"/>
            <w:vAlign w:val="center"/>
          </w:tcPr>
          <w:p w14:paraId="78408A9C" w14:textId="77777777" w:rsidR="00291E5E" w:rsidRPr="00291E5E" w:rsidRDefault="00291E5E" w:rsidP="00EB5AF9">
            <w:pPr>
              <w:pStyle w:val="ARTableText"/>
              <w:jc w:val="center"/>
            </w:pPr>
            <w:r w:rsidRPr="00291E5E">
              <w:t>●</w:t>
            </w:r>
          </w:p>
        </w:tc>
        <w:tc>
          <w:tcPr>
            <w:tcW w:w="993" w:type="dxa"/>
            <w:vAlign w:val="center"/>
          </w:tcPr>
          <w:p w14:paraId="5F127CCE" w14:textId="77777777" w:rsidR="00291E5E" w:rsidRPr="00291E5E" w:rsidRDefault="00291E5E" w:rsidP="00EB5AF9">
            <w:pPr>
              <w:pStyle w:val="ARTableText"/>
              <w:jc w:val="center"/>
            </w:pPr>
          </w:p>
        </w:tc>
      </w:tr>
      <w:tr w:rsidR="00291E5E" w:rsidRPr="00291E5E" w14:paraId="1CBB8D0C" w14:textId="77777777" w:rsidTr="009B68BF">
        <w:tc>
          <w:tcPr>
            <w:tcW w:w="3678" w:type="dxa"/>
            <w:tcBorders>
              <w:bottom w:val="nil"/>
            </w:tcBorders>
          </w:tcPr>
          <w:p w14:paraId="46DAED59" w14:textId="77777777" w:rsidR="00291E5E" w:rsidRPr="00291E5E" w:rsidRDefault="00291E5E" w:rsidP="00B12301">
            <w:pPr>
              <w:pStyle w:val="ARTableText"/>
            </w:pPr>
            <w:r w:rsidRPr="00291E5E">
              <w:t>s17A to give written notice when party joined</w:t>
            </w:r>
          </w:p>
        </w:tc>
        <w:tc>
          <w:tcPr>
            <w:tcW w:w="1134" w:type="dxa"/>
            <w:tcBorders>
              <w:bottom w:val="nil"/>
            </w:tcBorders>
            <w:vAlign w:val="center"/>
          </w:tcPr>
          <w:p w14:paraId="6ACDC316" w14:textId="77777777" w:rsidR="00291E5E" w:rsidRPr="00291E5E" w:rsidRDefault="00291E5E" w:rsidP="00EB5AF9">
            <w:pPr>
              <w:pStyle w:val="ARTableText"/>
              <w:jc w:val="center"/>
            </w:pPr>
            <w:r w:rsidRPr="00291E5E">
              <w:t>●</w:t>
            </w:r>
          </w:p>
        </w:tc>
        <w:tc>
          <w:tcPr>
            <w:tcW w:w="992" w:type="dxa"/>
            <w:tcBorders>
              <w:bottom w:val="nil"/>
            </w:tcBorders>
            <w:vAlign w:val="center"/>
          </w:tcPr>
          <w:p w14:paraId="1C938980" w14:textId="77777777" w:rsidR="00291E5E" w:rsidRPr="00291E5E" w:rsidRDefault="00291E5E" w:rsidP="00EB5AF9">
            <w:pPr>
              <w:pStyle w:val="ARTableText"/>
              <w:jc w:val="center"/>
            </w:pPr>
            <w:r w:rsidRPr="00291E5E">
              <w:t>●</w:t>
            </w:r>
          </w:p>
        </w:tc>
        <w:tc>
          <w:tcPr>
            <w:tcW w:w="992" w:type="dxa"/>
            <w:tcBorders>
              <w:bottom w:val="nil"/>
            </w:tcBorders>
            <w:vAlign w:val="center"/>
          </w:tcPr>
          <w:p w14:paraId="093E0F3C" w14:textId="6EACB809" w:rsidR="00291E5E" w:rsidRPr="00291E5E" w:rsidRDefault="00291E5E" w:rsidP="00EB5AF9">
            <w:pPr>
              <w:pStyle w:val="ARTableText"/>
              <w:jc w:val="center"/>
            </w:pPr>
            <w:r w:rsidRPr="00291E5E">
              <w:t>●</w:t>
            </w:r>
          </w:p>
        </w:tc>
        <w:tc>
          <w:tcPr>
            <w:tcW w:w="1134" w:type="dxa"/>
            <w:tcBorders>
              <w:bottom w:val="nil"/>
            </w:tcBorders>
            <w:vAlign w:val="center"/>
          </w:tcPr>
          <w:p w14:paraId="2DFAFF1C" w14:textId="731D2EEC" w:rsidR="00291E5E" w:rsidRPr="00291E5E" w:rsidRDefault="00291E5E" w:rsidP="00EB5AF9">
            <w:pPr>
              <w:pStyle w:val="ARTableText"/>
              <w:jc w:val="center"/>
            </w:pPr>
            <w:r w:rsidRPr="00291E5E">
              <w:t>●</w:t>
            </w:r>
          </w:p>
        </w:tc>
        <w:tc>
          <w:tcPr>
            <w:tcW w:w="993" w:type="dxa"/>
            <w:tcBorders>
              <w:bottom w:val="nil"/>
            </w:tcBorders>
            <w:vAlign w:val="center"/>
          </w:tcPr>
          <w:p w14:paraId="11199025" w14:textId="77777777" w:rsidR="00291E5E" w:rsidRPr="00291E5E" w:rsidRDefault="00291E5E" w:rsidP="00EB5AF9">
            <w:pPr>
              <w:pStyle w:val="ARTableText"/>
              <w:jc w:val="center"/>
            </w:pPr>
          </w:p>
        </w:tc>
      </w:tr>
      <w:tr w:rsidR="00291E5E" w:rsidRPr="00291E5E" w14:paraId="53DF64E7" w14:textId="77777777" w:rsidTr="009B68BF">
        <w:tc>
          <w:tcPr>
            <w:tcW w:w="3678" w:type="dxa"/>
            <w:tcBorders>
              <w:bottom w:val="single" w:sz="6" w:space="0" w:color="auto"/>
            </w:tcBorders>
          </w:tcPr>
          <w:p w14:paraId="621EC246" w14:textId="77777777" w:rsidR="00291E5E" w:rsidRPr="00291E5E" w:rsidRDefault="00291E5E" w:rsidP="00B12301">
            <w:pPr>
              <w:pStyle w:val="ARTableText"/>
            </w:pPr>
            <w:r w:rsidRPr="00291E5E">
              <w:t>s18(1)(c),(d) &amp; (e),</w:t>
            </w:r>
          </w:p>
          <w:p w14:paraId="510FEB1E" w14:textId="77777777" w:rsidR="00291E5E" w:rsidRPr="00291E5E" w:rsidRDefault="00291E5E" w:rsidP="00B12301">
            <w:pPr>
              <w:pStyle w:val="ARTableText"/>
            </w:pPr>
            <w:r w:rsidRPr="00291E5E">
              <w:t>s18(2)(c) &amp;(d),</w:t>
            </w:r>
          </w:p>
          <w:p w14:paraId="6ABBC91E" w14:textId="77777777" w:rsidR="00291E5E" w:rsidRPr="00291E5E" w:rsidRDefault="00291E5E" w:rsidP="00B12301">
            <w:pPr>
              <w:pStyle w:val="ARTableText"/>
            </w:pPr>
            <w:r w:rsidRPr="00291E5E">
              <w:t>s18(3)(c), s18(3A)(c), (d) &amp; (e) and s18(3B)(c), (d) &amp; (e) whether to decide that a person should be made a party to complaint</w:t>
            </w:r>
          </w:p>
        </w:tc>
        <w:tc>
          <w:tcPr>
            <w:tcW w:w="1134" w:type="dxa"/>
            <w:tcBorders>
              <w:bottom w:val="single" w:sz="6" w:space="0" w:color="auto"/>
            </w:tcBorders>
            <w:vAlign w:val="center"/>
          </w:tcPr>
          <w:p w14:paraId="04367D47" w14:textId="419E051A" w:rsidR="00291E5E" w:rsidRPr="00291E5E" w:rsidRDefault="00291E5E" w:rsidP="00EB5AF9">
            <w:pPr>
              <w:pStyle w:val="ARTableText"/>
              <w:jc w:val="center"/>
            </w:pPr>
            <w:r w:rsidRPr="00291E5E">
              <w:t>●</w:t>
            </w:r>
          </w:p>
        </w:tc>
        <w:tc>
          <w:tcPr>
            <w:tcW w:w="992" w:type="dxa"/>
            <w:tcBorders>
              <w:bottom w:val="single" w:sz="6" w:space="0" w:color="auto"/>
            </w:tcBorders>
            <w:vAlign w:val="center"/>
          </w:tcPr>
          <w:p w14:paraId="07EF9243" w14:textId="77777777" w:rsidR="00291E5E" w:rsidRPr="00291E5E" w:rsidRDefault="00291E5E" w:rsidP="00EB5AF9">
            <w:pPr>
              <w:pStyle w:val="ARTableText"/>
              <w:jc w:val="center"/>
            </w:pPr>
            <w:r w:rsidRPr="00291E5E">
              <w:t>●</w:t>
            </w:r>
          </w:p>
        </w:tc>
        <w:tc>
          <w:tcPr>
            <w:tcW w:w="992" w:type="dxa"/>
            <w:tcBorders>
              <w:bottom w:val="single" w:sz="6" w:space="0" w:color="auto"/>
            </w:tcBorders>
            <w:vAlign w:val="center"/>
          </w:tcPr>
          <w:p w14:paraId="18727E5D" w14:textId="6636898A" w:rsidR="00291E5E" w:rsidRPr="00291E5E" w:rsidRDefault="00291E5E" w:rsidP="00EB5AF9">
            <w:pPr>
              <w:pStyle w:val="ARTableText"/>
              <w:jc w:val="center"/>
            </w:pPr>
            <w:r w:rsidRPr="00291E5E">
              <w:t>●</w:t>
            </w:r>
          </w:p>
        </w:tc>
        <w:tc>
          <w:tcPr>
            <w:tcW w:w="1134" w:type="dxa"/>
            <w:tcBorders>
              <w:bottom w:val="single" w:sz="6" w:space="0" w:color="auto"/>
            </w:tcBorders>
            <w:vAlign w:val="center"/>
          </w:tcPr>
          <w:p w14:paraId="440A79E1" w14:textId="55475DD4" w:rsidR="00291E5E" w:rsidRPr="00291E5E" w:rsidRDefault="00291E5E" w:rsidP="00EB5AF9">
            <w:pPr>
              <w:pStyle w:val="ARTableText"/>
              <w:jc w:val="center"/>
            </w:pPr>
            <w:r w:rsidRPr="00291E5E">
              <w:t>●</w:t>
            </w:r>
          </w:p>
        </w:tc>
        <w:tc>
          <w:tcPr>
            <w:tcW w:w="993" w:type="dxa"/>
            <w:tcBorders>
              <w:bottom w:val="single" w:sz="6" w:space="0" w:color="auto"/>
            </w:tcBorders>
            <w:vAlign w:val="center"/>
          </w:tcPr>
          <w:p w14:paraId="60F28B85" w14:textId="77777777" w:rsidR="00291E5E" w:rsidRPr="00291E5E" w:rsidRDefault="00291E5E" w:rsidP="00EB5AF9">
            <w:pPr>
              <w:pStyle w:val="ARTableText"/>
              <w:jc w:val="center"/>
            </w:pPr>
          </w:p>
        </w:tc>
      </w:tr>
      <w:tr w:rsidR="00291E5E" w:rsidRPr="00291E5E" w14:paraId="2BD8754F" w14:textId="77777777" w:rsidTr="009B68BF">
        <w:tc>
          <w:tcPr>
            <w:tcW w:w="3678" w:type="dxa"/>
          </w:tcPr>
          <w:p w14:paraId="3C2EC7DC" w14:textId="77777777" w:rsidR="00291E5E" w:rsidRPr="00291E5E" w:rsidRDefault="00291E5E" w:rsidP="00B12301">
            <w:pPr>
              <w:pStyle w:val="ARTableText"/>
            </w:pPr>
            <w:r w:rsidRPr="00291E5E">
              <w:t>s19 whether to be satisfied complaint was first made to trustee or RSA provider / that all reasonable efforts made to first resolve complaint with insurer or superannuation provider</w:t>
            </w:r>
          </w:p>
        </w:tc>
        <w:tc>
          <w:tcPr>
            <w:tcW w:w="1134" w:type="dxa"/>
            <w:vAlign w:val="center"/>
          </w:tcPr>
          <w:p w14:paraId="4717F6E5" w14:textId="2DE78108" w:rsidR="00291E5E" w:rsidRPr="00291E5E" w:rsidRDefault="00291E5E" w:rsidP="00EB5AF9">
            <w:pPr>
              <w:pStyle w:val="ARTableText"/>
              <w:jc w:val="center"/>
            </w:pPr>
            <w:r w:rsidRPr="00291E5E">
              <w:t>●</w:t>
            </w:r>
          </w:p>
        </w:tc>
        <w:tc>
          <w:tcPr>
            <w:tcW w:w="992" w:type="dxa"/>
            <w:vAlign w:val="center"/>
          </w:tcPr>
          <w:p w14:paraId="5CBF0C5C" w14:textId="77777777" w:rsidR="00291E5E" w:rsidRPr="00291E5E" w:rsidRDefault="00291E5E" w:rsidP="00EB5AF9">
            <w:pPr>
              <w:pStyle w:val="ARTableText"/>
              <w:jc w:val="center"/>
            </w:pPr>
            <w:r w:rsidRPr="00291E5E">
              <w:t>●</w:t>
            </w:r>
          </w:p>
        </w:tc>
        <w:tc>
          <w:tcPr>
            <w:tcW w:w="992" w:type="dxa"/>
            <w:vAlign w:val="center"/>
          </w:tcPr>
          <w:p w14:paraId="78FED265" w14:textId="77777777" w:rsidR="00291E5E" w:rsidRPr="00291E5E" w:rsidRDefault="00291E5E" w:rsidP="00EB5AF9">
            <w:pPr>
              <w:pStyle w:val="ARTableText"/>
              <w:jc w:val="center"/>
            </w:pPr>
            <w:r w:rsidRPr="00291E5E">
              <w:t>●</w:t>
            </w:r>
          </w:p>
        </w:tc>
        <w:tc>
          <w:tcPr>
            <w:tcW w:w="1134" w:type="dxa"/>
            <w:vAlign w:val="center"/>
          </w:tcPr>
          <w:p w14:paraId="49E5971D" w14:textId="77777777" w:rsidR="00291E5E" w:rsidRPr="00291E5E" w:rsidRDefault="00291E5E" w:rsidP="00EB5AF9">
            <w:pPr>
              <w:pStyle w:val="ARTableText"/>
              <w:jc w:val="center"/>
            </w:pPr>
            <w:r w:rsidRPr="00291E5E">
              <w:t>●</w:t>
            </w:r>
          </w:p>
        </w:tc>
        <w:tc>
          <w:tcPr>
            <w:tcW w:w="993" w:type="dxa"/>
            <w:vAlign w:val="center"/>
          </w:tcPr>
          <w:p w14:paraId="07E308E2" w14:textId="77777777" w:rsidR="00291E5E" w:rsidRPr="00291E5E" w:rsidRDefault="00291E5E" w:rsidP="00EB5AF9">
            <w:pPr>
              <w:pStyle w:val="ARTableText"/>
              <w:jc w:val="center"/>
            </w:pPr>
          </w:p>
        </w:tc>
      </w:tr>
      <w:tr w:rsidR="00291E5E" w:rsidRPr="00291E5E" w14:paraId="2C28863B" w14:textId="77777777" w:rsidTr="009B68BF">
        <w:tc>
          <w:tcPr>
            <w:tcW w:w="3678" w:type="dxa"/>
          </w:tcPr>
          <w:p w14:paraId="2A191BD0" w14:textId="4FF38114" w:rsidR="00291E5E" w:rsidRPr="00291E5E" w:rsidRDefault="00291E5E" w:rsidP="00B12301">
            <w:pPr>
              <w:pStyle w:val="ARTableText"/>
            </w:pPr>
            <w:r w:rsidRPr="00291E5E">
              <w:t>s22(1) &amp; (2) whether to decide to treat complaint as withdrawn (satisfied that complainant doesn</w:t>
            </w:r>
            <w:r w:rsidR="0050078B">
              <w:t>’</w:t>
            </w:r>
            <w:r w:rsidRPr="00291E5E">
              <w:t>t intend to proceed) and to give notice of withdrawal</w:t>
            </w:r>
          </w:p>
        </w:tc>
        <w:tc>
          <w:tcPr>
            <w:tcW w:w="1134" w:type="dxa"/>
            <w:vAlign w:val="center"/>
          </w:tcPr>
          <w:p w14:paraId="05E04D5B" w14:textId="254DE2C7" w:rsidR="00291E5E" w:rsidRPr="00291E5E" w:rsidRDefault="00291E5E" w:rsidP="00EB5AF9">
            <w:pPr>
              <w:pStyle w:val="ARTableText"/>
              <w:jc w:val="center"/>
            </w:pPr>
            <w:r w:rsidRPr="00291E5E">
              <w:t>●</w:t>
            </w:r>
          </w:p>
        </w:tc>
        <w:tc>
          <w:tcPr>
            <w:tcW w:w="992" w:type="dxa"/>
            <w:vAlign w:val="center"/>
          </w:tcPr>
          <w:p w14:paraId="7F6D0AD7" w14:textId="3801C216" w:rsidR="00291E5E" w:rsidRPr="00291E5E" w:rsidRDefault="00291E5E" w:rsidP="00EB5AF9">
            <w:pPr>
              <w:pStyle w:val="ARTableText"/>
              <w:jc w:val="center"/>
            </w:pPr>
            <w:r w:rsidRPr="00291E5E">
              <w:t>●</w:t>
            </w:r>
          </w:p>
        </w:tc>
        <w:tc>
          <w:tcPr>
            <w:tcW w:w="992" w:type="dxa"/>
            <w:vAlign w:val="center"/>
          </w:tcPr>
          <w:p w14:paraId="2E762DFA" w14:textId="367F9F02" w:rsidR="00291E5E" w:rsidRPr="00291E5E" w:rsidRDefault="00291E5E" w:rsidP="00EB5AF9">
            <w:pPr>
              <w:pStyle w:val="ARTableText"/>
              <w:jc w:val="center"/>
            </w:pPr>
            <w:r w:rsidRPr="00291E5E">
              <w:t>●</w:t>
            </w:r>
          </w:p>
        </w:tc>
        <w:tc>
          <w:tcPr>
            <w:tcW w:w="1134" w:type="dxa"/>
            <w:vAlign w:val="center"/>
          </w:tcPr>
          <w:p w14:paraId="60DCB844" w14:textId="5903E179" w:rsidR="00291E5E" w:rsidRPr="00291E5E" w:rsidRDefault="00291E5E" w:rsidP="00EB5AF9">
            <w:pPr>
              <w:pStyle w:val="ARTableText"/>
              <w:jc w:val="center"/>
            </w:pPr>
            <w:r w:rsidRPr="00291E5E">
              <w:t>●</w:t>
            </w:r>
          </w:p>
        </w:tc>
        <w:tc>
          <w:tcPr>
            <w:tcW w:w="993" w:type="dxa"/>
            <w:vAlign w:val="center"/>
          </w:tcPr>
          <w:p w14:paraId="0E96041D" w14:textId="77777777" w:rsidR="00291E5E" w:rsidRPr="00291E5E" w:rsidRDefault="00291E5E" w:rsidP="00EB5AF9">
            <w:pPr>
              <w:pStyle w:val="ARTableText"/>
              <w:jc w:val="center"/>
            </w:pPr>
          </w:p>
        </w:tc>
      </w:tr>
      <w:tr w:rsidR="00291E5E" w:rsidRPr="00291E5E" w14:paraId="73080040" w14:textId="77777777" w:rsidTr="009B68BF">
        <w:tc>
          <w:tcPr>
            <w:tcW w:w="3678" w:type="dxa"/>
            <w:tcBorders>
              <w:bottom w:val="single" w:sz="6" w:space="0" w:color="auto"/>
            </w:tcBorders>
          </w:tcPr>
          <w:p w14:paraId="29B25A08" w14:textId="77777777" w:rsidR="00291E5E" w:rsidRPr="00291E5E" w:rsidRDefault="00291E5E" w:rsidP="00B12301">
            <w:pPr>
              <w:pStyle w:val="ARTableText"/>
            </w:pPr>
            <w:r w:rsidRPr="00291E5E">
              <w:lastRenderedPageBreak/>
              <w:t>s22(3) &amp; (4) whether to decide to treat complaint as withdrawn (other reasons) and to give notice of withdrawal</w:t>
            </w:r>
          </w:p>
        </w:tc>
        <w:tc>
          <w:tcPr>
            <w:tcW w:w="1134" w:type="dxa"/>
            <w:tcBorders>
              <w:bottom w:val="single" w:sz="6" w:space="0" w:color="auto"/>
            </w:tcBorders>
            <w:vAlign w:val="center"/>
          </w:tcPr>
          <w:p w14:paraId="3B0E5D04" w14:textId="2FD15088" w:rsidR="00291E5E" w:rsidRPr="00291E5E" w:rsidRDefault="00291E5E" w:rsidP="00EB5AF9">
            <w:pPr>
              <w:pStyle w:val="ARTableText"/>
              <w:jc w:val="center"/>
            </w:pPr>
            <w:r w:rsidRPr="00291E5E">
              <w:t>●</w:t>
            </w:r>
          </w:p>
        </w:tc>
        <w:tc>
          <w:tcPr>
            <w:tcW w:w="992" w:type="dxa"/>
            <w:tcBorders>
              <w:bottom w:val="single" w:sz="6" w:space="0" w:color="auto"/>
            </w:tcBorders>
            <w:vAlign w:val="center"/>
          </w:tcPr>
          <w:p w14:paraId="178AE99A" w14:textId="04EDBF52" w:rsidR="00291E5E" w:rsidRPr="00291E5E" w:rsidRDefault="00291E5E" w:rsidP="00EB5AF9">
            <w:pPr>
              <w:pStyle w:val="ARTableText"/>
              <w:jc w:val="center"/>
            </w:pPr>
            <w:r w:rsidRPr="00291E5E">
              <w:t>●</w:t>
            </w:r>
          </w:p>
        </w:tc>
        <w:tc>
          <w:tcPr>
            <w:tcW w:w="992" w:type="dxa"/>
            <w:tcBorders>
              <w:bottom w:val="single" w:sz="6" w:space="0" w:color="auto"/>
            </w:tcBorders>
            <w:vAlign w:val="center"/>
          </w:tcPr>
          <w:p w14:paraId="47308094" w14:textId="77777777" w:rsidR="00291E5E" w:rsidRPr="00291E5E" w:rsidRDefault="00291E5E" w:rsidP="00EB5AF9">
            <w:pPr>
              <w:pStyle w:val="ARTableText"/>
              <w:jc w:val="center"/>
            </w:pPr>
          </w:p>
        </w:tc>
        <w:tc>
          <w:tcPr>
            <w:tcW w:w="1134" w:type="dxa"/>
            <w:tcBorders>
              <w:bottom w:val="single" w:sz="6" w:space="0" w:color="auto"/>
            </w:tcBorders>
            <w:vAlign w:val="center"/>
          </w:tcPr>
          <w:p w14:paraId="2AC17A1F" w14:textId="77777777" w:rsidR="00291E5E" w:rsidRPr="00291E5E" w:rsidRDefault="00291E5E" w:rsidP="00EB5AF9">
            <w:pPr>
              <w:pStyle w:val="ARTableText"/>
              <w:jc w:val="center"/>
            </w:pPr>
          </w:p>
        </w:tc>
        <w:tc>
          <w:tcPr>
            <w:tcW w:w="993" w:type="dxa"/>
            <w:tcBorders>
              <w:bottom w:val="single" w:sz="6" w:space="0" w:color="auto"/>
            </w:tcBorders>
            <w:vAlign w:val="center"/>
          </w:tcPr>
          <w:p w14:paraId="5B76AE42" w14:textId="77777777" w:rsidR="00291E5E" w:rsidRPr="00291E5E" w:rsidRDefault="00291E5E" w:rsidP="00EB5AF9">
            <w:pPr>
              <w:pStyle w:val="ARTableText"/>
              <w:jc w:val="center"/>
            </w:pPr>
          </w:p>
        </w:tc>
      </w:tr>
      <w:tr w:rsidR="00291E5E" w:rsidRPr="00291E5E" w14:paraId="12F81AC3" w14:textId="77777777" w:rsidTr="009B68BF">
        <w:tc>
          <w:tcPr>
            <w:tcW w:w="3678" w:type="dxa"/>
          </w:tcPr>
          <w:p w14:paraId="14FE9522" w14:textId="77777777" w:rsidR="00291E5E" w:rsidRPr="00291E5E" w:rsidRDefault="00291E5E" w:rsidP="00B12301">
            <w:pPr>
              <w:pStyle w:val="ARTableText"/>
            </w:pPr>
            <w:r w:rsidRPr="00291E5E">
              <w:t>s23(2) &amp; (3) whether to allow complainant to be represented by an agent</w:t>
            </w:r>
          </w:p>
        </w:tc>
        <w:tc>
          <w:tcPr>
            <w:tcW w:w="1134" w:type="dxa"/>
            <w:vAlign w:val="center"/>
          </w:tcPr>
          <w:p w14:paraId="03D71A96" w14:textId="0C0B3D89" w:rsidR="00291E5E" w:rsidRPr="00291E5E" w:rsidRDefault="00291E5E" w:rsidP="00EB5AF9">
            <w:pPr>
              <w:pStyle w:val="ARTableText"/>
              <w:jc w:val="center"/>
            </w:pPr>
            <w:r w:rsidRPr="00291E5E">
              <w:t>●</w:t>
            </w:r>
          </w:p>
        </w:tc>
        <w:tc>
          <w:tcPr>
            <w:tcW w:w="992" w:type="dxa"/>
            <w:vAlign w:val="center"/>
          </w:tcPr>
          <w:p w14:paraId="4B7ECDDC" w14:textId="2644793A" w:rsidR="00291E5E" w:rsidRPr="00291E5E" w:rsidRDefault="00291E5E" w:rsidP="00EB5AF9">
            <w:pPr>
              <w:pStyle w:val="ARTableText"/>
              <w:jc w:val="center"/>
            </w:pPr>
            <w:r w:rsidRPr="00291E5E">
              <w:t>●</w:t>
            </w:r>
          </w:p>
        </w:tc>
        <w:tc>
          <w:tcPr>
            <w:tcW w:w="992" w:type="dxa"/>
            <w:vAlign w:val="center"/>
          </w:tcPr>
          <w:p w14:paraId="3105B5C8" w14:textId="2BEB7259" w:rsidR="00291E5E" w:rsidRPr="00291E5E" w:rsidRDefault="00291E5E" w:rsidP="00EB5AF9">
            <w:pPr>
              <w:pStyle w:val="ARTableText"/>
              <w:jc w:val="center"/>
            </w:pPr>
            <w:r w:rsidRPr="00291E5E">
              <w:t>●</w:t>
            </w:r>
          </w:p>
        </w:tc>
        <w:tc>
          <w:tcPr>
            <w:tcW w:w="1134" w:type="dxa"/>
            <w:vAlign w:val="center"/>
          </w:tcPr>
          <w:p w14:paraId="1446BD31" w14:textId="77777777" w:rsidR="00291E5E" w:rsidRPr="00291E5E" w:rsidRDefault="00291E5E" w:rsidP="00EB5AF9">
            <w:pPr>
              <w:pStyle w:val="ARTableText"/>
              <w:jc w:val="center"/>
            </w:pPr>
            <w:r w:rsidRPr="00291E5E">
              <w:t>●</w:t>
            </w:r>
          </w:p>
        </w:tc>
        <w:tc>
          <w:tcPr>
            <w:tcW w:w="993" w:type="dxa"/>
            <w:vAlign w:val="center"/>
          </w:tcPr>
          <w:p w14:paraId="78D4B386" w14:textId="77777777" w:rsidR="00291E5E" w:rsidRPr="00291E5E" w:rsidRDefault="00291E5E" w:rsidP="00EB5AF9">
            <w:pPr>
              <w:pStyle w:val="ARTableText"/>
              <w:jc w:val="center"/>
            </w:pPr>
          </w:p>
        </w:tc>
      </w:tr>
      <w:tr w:rsidR="00291E5E" w:rsidRPr="00291E5E" w14:paraId="2A9A21A7" w14:textId="77777777" w:rsidTr="009B68BF">
        <w:tc>
          <w:tcPr>
            <w:tcW w:w="3678" w:type="dxa"/>
          </w:tcPr>
          <w:p w14:paraId="532760B6" w14:textId="77777777" w:rsidR="00291E5E" w:rsidRPr="00291E5E" w:rsidRDefault="00291E5E" w:rsidP="00B12301">
            <w:pPr>
              <w:pStyle w:val="ARTableText"/>
            </w:pPr>
            <w:r w:rsidRPr="00291E5E">
              <w:t>s24(1) whether to allow a period longer than 28 days for trustee, insurer, RSA provider to give documents</w:t>
            </w:r>
          </w:p>
        </w:tc>
        <w:tc>
          <w:tcPr>
            <w:tcW w:w="1134" w:type="dxa"/>
            <w:vAlign w:val="center"/>
          </w:tcPr>
          <w:p w14:paraId="3925D1A3" w14:textId="028E96BA" w:rsidR="00291E5E" w:rsidRPr="00291E5E" w:rsidRDefault="00291E5E" w:rsidP="00EB5AF9">
            <w:pPr>
              <w:pStyle w:val="ARTableText"/>
              <w:jc w:val="center"/>
            </w:pPr>
            <w:r w:rsidRPr="00291E5E">
              <w:t>●</w:t>
            </w:r>
          </w:p>
        </w:tc>
        <w:tc>
          <w:tcPr>
            <w:tcW w:w="992" w:type="dxa"/>
            <w:vAlign w:val="center"/>
          </w:tcPr>
          <w:p w14:paraId="55BB86AA" w14:textId="77777777" w:rsidR="00291E5E" w:rsidRPr="00291E5E" w:rsidRDefault="00291E5E" w:rsidP="00EB5AF9">
            <w:pPr>
              <w:pStyle w:val="ARTableText"/>
              <w:jc w:val="center"/>
            </w:pPr>
            <w:r w:rsidRPr="00291E5E">
              <w:t>●</w:t>
            </w:r>
          </w:p>
        </w:tc>
        <w:tc>
          <w:tcPr>
            <w:tcW w:w="992" w:type="dxa"/>
            <w:vAlign w:val="center"/>
          </w:tcPr>
          <w:p w14:paraId="271F4D76" w14:textId="77777777" w:rsidR="00291E5E" w:rsidRPr="00291E5E" w:rsidRDefault="00291E5E" w:rsidP="00EB5AF9">
            <w:pPr>
              <w:pStyle w:val="ARTableText"/>
              <w:jc w:val="center"/>
            </w:pPr>
            <w:r w:rsidRPr="00291E5E">
              <w:t>●</w:t>
            </w:r>
          </w:p>
        </w:tc>
        <w:tc>
          <w:tcPr>
            <w:tcW w:w="1134" w:type="dxa"/>
            <w:vAlign w:val="center"/>
          </w:tcPr>
          <w:p w14:paraId="2DF9D432" w14:textId="3339219B" w:rsidR="00291E5E" w:rsidRPr="00291E5E" w:rsidRDefault="00291E5E" w:rsidP="00EB5AF9">
            <w:pPr>
              <w:pStyle w:val="ARTableText"/>
              <w:jc w:val="center"/>
            </w:pPr>
          </w:p>
        </w:tc>
        <w:tc>
          <w:tcPr>
            <w:tcW w:w="993" w:type="dxa"/>
            <w:vAlign w:val="center"/>
          </w:tcPr>
          <w:p w14:paraId="644E4AD8" w14:textId="77777777" w:rsidR="00291E5E" w:rsidRPr="00291E5E" w:rsidRDefault="00291E5E" w:rsidP="00EB5AF9">
            <w:pPr>
              <w:pStyle w:val="ARTableText"/>
              <w:jc w:val="center"/>
            </w:pPr>
          </w:p>
        </w:tc>
      </w:tr>
      <w:tr w:rsidR="00291E5E" w:rsidRPr="00291E5E" w14:paraId="31D0597D" w14:textId="77777777" w:rsidTr="009B68BF">
        <w:tc>
          <w:tcPr>
            <w:tcW w:w="3678" w:type="dxa"/>
          </w:tcPr>
          <w:p w14:paraId="7609CDB2" w14:textId="77777777" w:rsidR="00291E5E" w:rsidRPr="00291E5E" w:rsidRDefault="00291E5E" w:rsidP="00B12301">
            <w:pPr>
              <w:pStyle w:val="ARTableText"/>
            </w:pPr>
            <w:r w:rsidRPr="00291E5E">
              <w:t>s24(2) whether to allow a relevant person a period longer than 28 days to give documents</w:t>
            </w:r>
          </w:p>
        </w:tc>
        <w:tc>
          <w:tcPr>
            <w:tcW w:w="1134" w:type="dxa"/>
            <w:vAlign w:val="center"/>
          </w:tcPr>
          <w:p w14:paraId="4BAEE44D" w14:textId="31CB0E74" w:rsidR="00291E5E" w:rsidRPr="00291E5E" w:rsidRDefault="00291E5E" w:rsidP="00EB5AF9">
            <w:pPr>
              <w:pStyle w:val="ARTableText"/>
              <w:jc w:val="center"/>
            </w:pPr>
            <w:r w:rsidRPr="00291E5E">
              <w:t>●</w:t>
            </w:r>
          </w:p>
        </w:tc>
        <w:tc>
          <w:tcPr>
            <w:tcW w:w="992" w:type="dxa"/>
            <w:vAlign w:val="center"/>
          </w:tcPr>
          <w:p w14:paraId="38CF1331" w14:textId="77777777" w:rsidR="00291E5E" w:rsidRPr="00291E5E" w:rsidRDefault="00291E5E" w:rsidP="00EB5AF9">
            <w:pPr>
              <w:pStyle w:val="ARTableText"/>
              <w:jc w:val="center"/>
            </w:pPr>
            <w:r w:rsidRPr="00291E5E">
              <w:t>●</w:t>
            </w:r>
          </w:p>
        </w:tc>
        <w:tc>
          <w:tcPr>
            <w:tcW w:w="992" w:type="dxa"/>
            <w:vAlign w:val="center"/>
          </w:tcPr>
          <w:p w14:paraId="18360A93" w14:textId="77777777" w:rsidR="00291E5E" w:rsidRPr="00291E5E" w:rsidRDefault="00291E5E" w:rsidP="00EB5AF9">
            <w:pPr>
              <w:pStyle w:val="ARTableText"/>
              <w:jc w:val="center"/>
            </w:pPr>
            <w:r w:rsidRPr="00291E5E">
              <w:t>●</w:t>
            </w:r>
          </w:p>
        </w:tc>
        <w:tc>
          <w:tcPr>
            <w:tcW w:w="1134" w:type="dxa"/>
            <w:vAlign w:val="center"/>
          </w:tcPr>
          <w:p w14:paraId="7C8871C9" w14:textId="77777777" w:rsidR="00291E5E" w:rsidRPr="00291E5E" w:rsidRDefault="00291E5E" w:rsidP="00EB5AF9">
            <w:pPr>
              <w:pStyle w:val="ARTableText"/>
              <w:jc w:val="center"/>
            </w:pPr>
            <w:r w:rsidRPr="00291E5E">
              <w:t>●</w:t>
            </w:r>
          </w:p>
        </w:tc>
        <w:tc>
          <w:tcPr>
            <w:tcW w:w="993" w:type="dxa"/>
            <w:vAlign w:val="center"/>
          </w:tcPr>
          <w:p w14:paraId="19822BA0" w14:textId="77777777" w:rsidR="00291E5E" w:rsidRPr="00291E5E" w:rsidRDefault="00291E5E" w:rsidP="00EB5AF9">
            <w:pPr>
              <w:pStyle w:val="ARTableText"/>
              <w:jc w:val="center"/>
            </w:pPr>
          </w:p>
        </w:tc>
      </w:tr>
      <w:tr w:rsidR="00291E5E" w:rsidRPr="00291E5E" w14:paraId="6BB8B10E" w14:textId="77777777" w:rsidTr="009B68BF">
        <w:tc>
          <w:tcPr>
            <w:tcW w:w="3678" w:type="dxa"/>
            <w:tcBorders>
              <w:top w:val="single" w:sz="6" w:space="0" w:color="auto"/>
              <w:left w:val="single" w:sz="6" w:space="0" w:color="auto"/>
              <w:bottom w:val="single" w:sz="6" w:space="0" w:color="auto"/>
              <w:right w:val="single" w:sz="6" w:space="0" w:color="auto"/>
            </w:tcBorders>
          </w:tcPr>
          <w:p w14:paraId="2105EB60" w14:textId="77777777" w:rsidR="00291E5E" w:rsidRPr="00291E5E" w:rsidRDefault="00291E5E" w:rsidP="00B12301">
            <w:pPr>
              <w:pStyle w:val="ARTableText"/>
            </w:pPr>
            <w:r w:rsidRPr="00291E5E">
              <w:t>s24(4) whether to allow trustee, insurer, RSA provider or other decision maker to give a summary of documents</w:t>
            </w:r>
          </w:p>
        </w:tc>
        <w:tc>
          <w:tcPr>
            <w:tcW w:w="1134" w:type="dxa"/>
            <w:tcBorders>
              <w:top w:val="single" w:sz="6" w:space="0" w:color="auto"/>
              <w:left w:val="single" w:sz="6" w:space="0" w:color="auto"/>
              <w:bottom w:val="single" w:sz="6" w:space="0" w:color="auto"/>
              <w:right w:val="single" w:sz="6" w:space="0" w:color="auto"/>
            </w:tcBorders>
            <w:vAlign w:val="center"/>
          </w:tcPr>
          <w:p w14:paraId="5E8581E4" w14:textId="55F64C22" w:rsidR="00291E5E" w:rsidRPr="00291E5E" w:rsidRDefault="00291E5E" w:rsidP="00EB5AF9">
            <w:pPr>
              <w:pStyle w:val="ARTableText"/>
              <w:jc w:val="center"/>
            </w:pPr>
            <w:r w:rsidRPr="00291E5E">
              <w:t>●</w:t>
            </w:r>
          </w:p>
        </w:tc>
        <w:tc>
          <w:tcPr>
            <w:tcW w:w="992" w:type="dxa"/>
            <w:tcBorders>
              <w:top w:val="single" w:sz="6" w:space="0" w:color="auto"/>
              <w:left w:val="single" w:sz="6" w:space="0" w:color="auto"/>
              <w:bottom w:val="single" w:sz="6" w:space="0" w:color="auto"/>
              <w:right w:val="single" w:sz="6" w:space="0" w:color="auto"/>
            </w:tcBorders>
            <w:vAlign w:val="center"/>
          </w:tcPr>
          <w:p w14:paraId="7D5ABDD9" w14:textId="77777777" w:rsidR="00291E5E" w:rsidRPr="00291E5E" w:rsidRDefault="00291E5E" w:rsidP="00EB5AF9">
            <w:pPr>
              <w:pStyle w:val="ARTableText"/>
              <w:jc w:val="center"/>
            </w:pPr>
            <w:r w:rsidRPr="00291E5E">
              <w:t>●</w:t>
            </w:r>
          </w:p>
        </w:tc>
        <w:tc>
          <w:tcPr>
            <w:tcW w:w="992" w:type="dxa"/>
            <w:tcBorders>
              <w:top w:val="single" w:sz="6" w:space="0" w:color="auto"/>
              <w:left w:val="single" w:sz="6" w:space="0" w:color="auto"/>
              <w:bottom w:val="single" w:sz="6" w:space="0" w:color="auto"/>
              <w:right w:val="single" w:sz="6" w:space="0" w:color="auto"/>
            </w:tcBorders>
            <w:vAlign w:val="center"/>
          </w:tcPr>
          <w:p w14:paraId="1D322AD1" w14:textId="77777777" w:rsidR="00291E5E" w:rsidRPr="00291E5E" w:rsidRDefault="00291E5E" w:rsidP="00EB5AF9">
            <w:pPr>
              <w:pStyle w:val="ARTableText"/>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28A14681" w14:textId="77777777" w:rsidR="00291E5E" w:rsidRPr="00291E5E" w:rsidRDefault="00291E5E" w:rsidP="00EB5AF9">
            <w:pPr>
              <w:pStyle w:val="ARTableTex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4E1A8DA4" w14:textId="77777777" w:rsidR="00291E5E" w:rsidRPr="00291E5E" w:rsidRDefault="00291E5E" w:rsidP="00EB5AF9">
            <w:pPr>
              <w:pStyle w:val="ARTableText"/>
              <w:jc w:val="center"/>
            </w:pPr>
          </w:p>
        </w:tc>
      </w:tr>
      <w:tr w:rsidR="00291E5E" w:rsidRPr="00291E5E" w14:paraId="5C5A7C98" w14:textId="77777777" w:rsidTr="009B68BF">
        <w:tc>
          <w:tcPr>
            <w:tcW w:w="3678" w:type="dxa"/>
            <w:tcBorders>
              <w:top w:val="single" w:sz="6" w:space="0" w:color="auto"/>
              <w:left w:val="single" w:sz="6" w:space="0" w:color="auto"/>
              <w:bottom w:val="single" w:sz="6" w:space="0" w:color="auto"/>
              <w:right w:val="single" w:sz="6" w:space="0" w:color="auto"/>
            </w:tcBorders>
          </w:tcPr>
          <w:p w14:paraId="276D562E" w14:textId="77777777" w:rsidR="00291E5E" w:rsidRPr="00291E5E" w:rsidRDefault="00291E5E" w:rsidP="00B12301">
            <w:pPr>
              <w:pStyle w:val="ARTableText"/>
            </w:pPr>
            <w:r w:rsidRPr="00291E5E">
              <w:t>s24(5) whether to allow longer period to request giving of summary of documents</w:t>
            </w:r>
          </w:p>
        </w:tc>
        <w:tc>
          <w:tcPr>
            <w:tcW w:w="1134" w:type="dxa"/>
            <w:tcBorders>
              <w:top w:val="single" w:sz="6" w:space="0" w:color="auto"/>
              <w:left w:val="single" w:sz="6" w:space="0" w:color="auto"/>
              <w:bottom w:val="single" w:sz="6" w:space="0" w:color="auto"/>
              <w:right w:val="single" w:sz="6" w:space="0" w:color="auto"/>
            </w:tcBorders>
            <w:vAlign w:val="center"/>
          </w:tcPr>
          <w:p w14:paraId="1520AF74" w14:textId="64D3A5F1" w:rsidR="00291E5E" w:rsidRPr="00291E5E" w:rsidRDefault="00291E5E" w:rsidP="00EB5AF9">
            <w:pPr>
              <w:pStyle w:val="ARTableText"/>
              <w:jc w:val="center"/>
            </w:pPr>
            <w:r w:rsidRPr="00291E5E">
              <w:t>●</w:t>
            </w:r>
          </w:p>
        </w:tc>
        <w:tc>
          <w:tcPr>
            <w:tcW w:w="992" w:type="dxa"/>
            <w:tcBorders>
              <w:top w:val="single" w:sz="6" w:space="0" w:color="auto"/>
              <w:left w:val="single" w:sz="6" w:space="0" w:color="auto"/>
              <w:bottom w:val="single" w:sz="6" w:space="0" w:color="auto"/>
              <w:right w:val="single" w:sz="6" w:space="0" w:color="auto"/>
            </w:tcBorders>
            <w:vAlign w:val="center"/>
          </w:tcPr>
          <w:p w14:paraId="372BCEA1" w14:textId="77777777" w:rsidR="00291E5E" w:rsidRPr="00291E5E" w:rsidRDefault="00291E5E" w:rsidP="00EB5AF9">
            <w:pPr>
              <w:pStyle w:val="ARTableText"/>
              <w:jc w:val="center"/>
            </w:pPr>
            <w:r w:rsidRPr="00291E5E">
              <w:t>●</w:t>
            </w:r>
          </w:p>
        </w:tc>
        <w:tc>
          <w:tcPr>
            <w:tcW w:w="992" w:type="dxa"/>
            <w:tcBorders>
              <w:top w:val="single" w:sz="6" w:space="0" w:color="auto"/>
              <w:left w:val="single" w:sz="6" w:space="0" w:color="auto"/>
              <w:bottom w:val="single" w:sz="6" w:space="0" w:color="auto"/>
              <w:right w:val="single" w:sz="6" w:space="0" w:color="auto"/>
            </w:tcBorders>
            <w:vAlign w:val="center"/>
          </w:tcPr>
          <w:p w14:paraId="26A2C444" w14:textId="77777777" w:rsidR="00291E5E" w:rsidRPr="00291E5E" w:rsidRDefault="00291E5E" w:rsidP="00EB5AF9">
            <w:pPr>
              <w:pStyle w:val="ARTableText"/>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4D502D02" w14:textId="77777777" w:rsidR="00291E5E" w:rsidRPr="00291E5E" w:rsidRDefault="00291E5E" w:rsidP="00EB5AF9">
            <w:pPr>
              <w:pStyle w:val="ARTableTex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17DB8A6F" w14:textId="77777777" w:rsidR="00291E5E" w:rsidRPr="00291E5E" w:rsidRDefault="00291E5E" w:rsidP="00EB5AF9">
            <w:pPr>
              <w:pStyle w:val="ARTableText"/>
              <w:jc w:val="center"/>
            </w:pPr>
          </w:p>
        </w:tc>
      </w:tr>
      <w:tr w:rsidR="00291E5E" w:rsidRPr="00291E5E" w14:paraId="036B6FC5" w14:textId="77777777" w:rsidTr="009B68BF">
        <w:tc>
          <w:tcPr>
            <w:tcW w:w="3678" w:type="dxa"/>
            <w:shd w:val="clear" w:color="auto" w:fill="auto"/>
          </w:tcPr>
          <w:p w14:paraId="166ABCDF" w14:textId="77777777" w:rsidR="00291E5E" w:rsidRPr="00291E5E" w:rsidRDefault="00291E5E" w:rsidP="00B12301">
            <w:pPr>
              <w:pStyle w:val="ARTableText"/>
            </w:pPr>
            <w:r w:rsidRPr="00291E5E">
              <w:t>s24(6) whether to give notice to joined party to give Tribunal copies of specified documents</w:t>
            </w:r>
          </w:p>
        </w:tc>
        <w:tc>
          <w:tcPr>
            <w:tcW w:w="1134" w:type="dxa"/>
            <w:shd w:val="clear" w:color="auto" w:fill="auto"/>
            <w:vAlign w:val="center"/>
          </w:tcPr>
          <w:p w14:paraId="2CB96FAE" w14:textId="2691F67A" w:rsidR="00291E5E" w:rsidRPr="00291E5E" w:rsidRDefault="00291E5E" w:rsidP="00EB5AF9">
            <w:pPr>
              <w:pStyle w:val="ARTableText"/>
              <w:jc w:val="center"/>
            </w:pPr>
            <w:r w:rsidRPr="00291E5E">
              <w:t>●</w:t>
            </w:r>
          </w:p>
        </w:tc>
        <w:tc>
          <w:tcPr>
            <w:tcW w:w="992" w:type="dxa"/>
            <w:shd w:val="clear" w:color="auto" w:fill="auto"/>
            <w:vAlign w:val="center"/>
          </w:tcPr>
          <w:p w14:paraId="4605E931" w14:textId="48A97DB0" w:rsidR="00291E5E" w:rsidRPr="00291E5E" w:rsidRDefault="00291E5E" w:rsidP="00EB5AF9">
            <w:pPr>
              <w:pStyle w:val="ARTableText"/>
              <w:jc w:val="center"/>
            </w:pPr>
            <w:r w:rsidRPr="00291E5E">
              <w:t>●</w:t>
            </w:r>
          </w:p>
        </w:tc>
        <w:tc>
          <w:tcPr>
            <w:tcW w:w="992" w:type="dxa"/>
            <w:shd w:val="clear" w:color="auto" w:fill="auto"/>
            <w:vAlign w:val="center"/>
          </w:tcPr>
          <w:p w14:paraId="5F6A884B" w14:textId="77777777" w:rsidR="00291E5E" w:rsidRPr="00291E5E" w:rsidRDefault="00291E5E" w:rsidP="00EB5AF9">
            <w:pPr>
              <w:pStyle w:val="ARTableText"/>
              <w:jc w:val="center"/>
            </w:pPr>
          </w:p>
        </w:tc>
        <w:tc>
          <w:tcPr>
            <w:tcW w:w="1134" w:type="dxa"/>
            <w:shd w:val="clear" w:color="auto" w:fill="auto"/>
            <w:vAlign w:val="center"/>
          </w:tcPr>
          <w:p w14:paraId="065BD0D3" w14:textId="77777777" w:rsidR="00291E5E" w:rsidRPr="00291E5E" w:rsidRDefault="00291E5E" w:rsidP="00EB5AF9">
            <w:pPr>
              <w:pStyle w:val="ARTableText"/>
              <w:jc w:val="center"/>
            </w:pPr>
          </w:p>
        </w:tc>
        <w:tc>
          <w:tcPr>
            <w:tcW w:w="993" w:type="dxa"/>
            <w:shd w:val="clear" w:color="auto" w:fill="auto"/>
            <w:vAlign w:val="center"/>
          </w:tcPr>
          <w:p w14:paraId="0B66D7A4" w14:textId="77777777" w:rsidR="00291E5E" w:rsidRPr="00291E5E" w:rsidRDefault="00291E5E" w:rsidP="00EB5AF9">
            <w:pPr>
              <w:pStyle w:val="ARTableText"/>
              <w:jc w:val="center"/>
            </w:pPr>
          </w:p>
        </w:tc>
      </w:tr>
      <w:tr w:rsidR="00291E5E" w:rsidRPr="00291E5E" w14:paraId="4E5C6FBA" w14:textId="77777777" w:rsidTr="009B68BF">
        <w:tc>
          <w:tcPr>
            <w:tcW w:w="3678" w:type="dxa"/>
            <w:shd w:val="clear" w:color="auto" w:fill="auto"/>
          </w:tcPr>
          <w:p w14:paraId="4BAB8D17" w14:textId="77777777" w:rsidR="00291E5E" w:rsidRPr="00291E5E" w:rsidRDefault="00291E5E" w:rsidP="00B12301">
            <w:pPr>
              <w:pStyle w:val="ARTableText"/>
            </w:pPr>
            <w:r w:rsidRPr="00291E5E">
              <w:t>s24(6) whether to allow longer period for joined parties to give documents</w:t>
            </w:r>
          </w:p>
        </w:tc>
        <w:tc>
          <w:tcPr>
            <w:tcW w:w="1134" w:type="dxa"/>
            <w:shd w:val="clear" w:color="auto" w:fill="auto"/>
            <w:vAlign w:val="center"/>
          </w:tcPr>
          <w:p w14:paraId="752CF2A7" w14:textId="3B0BCBAD" w:rsidR="00291E5E" w:rsidRPr="00291E5E" w:rsidRDefault="00291E5E" w:rsidP="00EB5AF9">
            <w:pPr>
              <w:pStyle w:val="ARTableText"/>
              <w:jc w:val="center"/>
            </w:pPr>
            <w:r w:rsidRPr="00291E5E">
              <w:t>●</w:t>
            </w:r>
          </w:p>
        </w:tc>
        <w:tc>
          <w:tcPr>
            <w:tcW w:w="992" w:type="dxa"/>
            <w:shd w:val="clear" w:color="auto" w:fill="auto"/>
            <w:vAlign w:val="center"/>
          </w:tcPr>
          <w:p w14:paraId="3239075B" w14:textId="29479AD6" w:rsidR="00291E5E" w:rsidRPr="00291E5E" w:rsidRDefault="00291E5E" w:rsidP="00EB5AF9">
            <w:pPr>
              <w:pStyle w:val="ARTableText"/>
              <w:jc w:val="center"/>
            </w:pPr>
            <w:r w:rsidRPr="00291E5E">
              <w:t>●</w:t>
            </w:r>
          </w:p>
        </w:tc>
        <w:tc>
          <w:tcPr>
            <w:tcW w:w="992" w:type="dxa"/>
            <w:shd w:val="clear" w:color="auto" w:fill="auto"/>
            <w:vAlign w:val="center"/>
          </w:tcPr>
          <w:p w14:paraId="78674412" w14:textId="77777777" w:rsidR="00291E5E" w:rsidRPr="00291E5E" w:rsidRDefault="00291E5E" w:rsidP="00EB5AF9">
            <w:pPr>
              <w:pStyle w:val="ARTableText"/>
              <w:jc w:val="center"/>
            </w:pPr>
          </w:p>
        </w:tc>
        <w:tc>
          <w:tcPr>
            <w:tcW w:w="1134" w:type="dxa"/>
            <w:shd w:val="clear" w:color="auto" w:fill="auto"/>
            <w:vAlign w:val="center"/>
          </w:tcPr>
          <w:p w14:paraId="49C6451E" w14:textId="77777777" w:rsidR="00291E5E" w:rsidRPr="00291E5E" w:rsidRDefault="00291E5E" w:rsidP="00EB5AF9">
            <w:pPr>
              <w:pStyle w:val="ARTableText"/>
              <w:jc w:val="center"/>
            </w:pPr>
          </w:p>
        </w:tc>
        <w:tc>
          <w:tcPr>
            <w:tcW w:w="993" w:type="dxa"/>
            <w:shd w:val="clear" w:color="auto" w:fill="auto"/>
            <w:vAlign w:val="center"/>
          </w:tcPr>
          <w:p w14:paraId="56567892" w14:textId="77777777" w:rsidR="00291E5E" w:rsidRPr="00291E5E" w:rsidRDefault="00291E5E" w:rsidP="00EB5AF9">
            <w:pPr>
              <w:pStyle w:val="ARTableText"/>
              <w:jc w:val="center"/>
            </w:pPr>
          </w:p>
        </w:tc>
      </w:tr>
      <w:tr w:rsidR="00291E5E" w:rsidRPr="00291E5E" w14:paraId="741B760E" w14:textId="77777777" w:rsidTr="009B68BF">
        <w:tc>
          <w:tcPr>
            <w:tcW w:w="3678" w:type="dxa"/>
            <w:tcBorders>
              <w:bottom w:val="nil"/>
            </w:tcBorders>
          </w:tcPr>
          <w:p w14:paraId="4B37019F" w14:textId="77777777" w:rsidR="00291E5E" w:rsidRPr="00291E5E" w:rsidRDefault="00291E5E" w:rsidP="00B12301">
            <w:pPr>
              <w:pStyle w:val="ARTableText"/>
            </w:pPr>
            <w:r w:rsidRPr="00291E5E">
              <w:t>s24AA(1) whether to allow to a period longer than 28 days for superannuation provider to give documents</w:t>
            </w:r>
          </w:p>
        </w:tc>
        <w:tc>
          <w:tcPr>
            <w:tcW w:w="1134" w:type="dxa"/>
            <w:tcBorders>
              <w:left w:val="nil"/>
              <w:bottom w:val="nil"/>
            </w:tcBorders>
            <w:vAlign w:val="center"/>
          </w:tcPr>
          <w:p w14:paraId="0D6A8A4A" w14:textId="4E916DB6" w:rsidR="00291E5E" w:rsidRPr="00291E5E" w:rsidRDefault="00291E5E" w:rsidP="00EB5AF9">
            <w:pPr>
              <w:pStyle w:val="ARTableText"/>
              <w:jc w:val="center"/>
            </w:pPr>
            <w:r w:rsidRPr="00291E5E">
              <w:t>●</w:t>
            </w:r>
          </w:p>
        </w:tc>
        <w:tc>
          <w:tcPr>
            <w:tcW w:w="992" w:type="dxa"/>
            <w:tcBorders>
              <w:bottom w:val="nil"/>
            </w:tcBorders>
            <w:vAlign w:val="center"/>
          </w:tcPr>
          <w:p w14:paraId="4EF75417" w14:textId="77777777" w:rsidR="00291E5E" w:rsidRPr="00291E5E" w:rsidRDefault="00291E5E" w:rsidP="00EB5AF9">
            <w:pPr>
              <w:pStyle w:val="ARTableText"/>
              <w:jc w:val="center"/>
            </w:pPr>
            <w:r w:rsidRPr="00291E5E">
              <w:t>●</w:t>
            </w:r>
          </w:p>
        </w:tc>
        <w:tc>
          <w:tcPr>
            <w:tcW w:w="992" w:type="dxa"/>
            <w:tcBorders>
              <w:bottom w:val="nil"/>
            </w:tcBorders>
            <w:vAlign w:val="center"/>
          </w:tcPr>
          <w:p w14:paraId="5774FC05" w14:textId="77777777" w:rsidR="00291E5E" w:rsidRPr="00291E5E" w:rsidRDefault="00291E5E" w:rsidP="00EB5AF9">
            <w:pPr>
              <w:pStyle w:val="ARTableText"/>
              <w:jc w:val="center"/>
            </w:pPr>
            <w:r w:rsidRPr="00291E5E">
              <w:t>●</w:t>
            </w:r>
          </w:p>
        </w:tc>
        <w:tc>
          <w:tcPr>
            <w:tcW w:w="1134" w:type="dxa"/>
            <w:tcBorders>
              <w:bottom w:val="nil"/>
            </w:tcBorders>
            <w:vAlign w:val="center"/>
          </w:tcPr>
          <w:p w14:paraId="09A30463" w14:textId="77777777" w:rsidR="00291E5E" w:rsidRPr="00291E5E" w:rsidRDefault="00291E5E" w:rsidP="00EB5AF9">
            <w:pPr>
              <w:pStyle w:val="ARTableText"/>
              <w:jc w:val="center"/>
            </w:pPr>
            <w:r w:rsidRPr="00291E5E">
              <w:t>●</w:t>
            </w:r>
          </w:p>
        </w:tc>
        <w:tc>
          <w:tcPr>
            <w:tcW w:w="993" w:type="dxa"/>
            <w:tcBorders>
              <w:bottom w:val="nil"/>
            </w:tcBorders>
            <w:vAlign w:val="center"/>
          </w:tcPr>
          <w:p w14:paraId="4DEC0F80" w14:textId="77777777" w:rsidR="00291E5E" w:rsidRPr="00291E5E" w:rsidRDefault="00291E5E" w:rsidP="00EB5AF9">
            <w:pPr>
              <w:pStyle w:val="ARTableText"/>
              <w:jc w:val="center"/>
            </w:pPr>
          </w:p>
        </w:tc>
      </w:tr>
      <w:tr w:rsidR="00291E5E" w:rsidRPr="00291E5E" w14:paraId="2A2C53AC" w14:textId="77777777" w:rsidTr="009B68BF">
        <w:tc>
          <w:tcPr>
            <w:tcW w:w="3678" w:type="dxa"/>
            <w:tcBorders>
              <w:bottom w:val="single" w:sz="6" w:space="0" w:color="auto"/>
            </w:tcBorders>
          </w:tcPr>
          <w:p w14:paraId="5C8CE36E" w14:textId="77777777" w:rsidR="00291E5E" w:rsidRPr="00291E5E" w:rsidRDefault="00291E5E" w:rsidP="00B12301">
            <w:pPr>
              <w:pStyle w:val="ARTableText"/>
            </w:pPr>
            <w:r w:rsidRPr="00291E5E">
              <w:t>s24AA(2) whether to allow superannuation provider to give a summary of documents</w:t>
            </w:r>
          </w:p>
        </w:tc>
        <w:tc>
          <w:tcPr>
            <w:tcW w:w="1134" w:type="dxa"/>
            <w:tcBorders>
              <w:left w:val="nil"/>
              <w:bottom w:val="single" w:sz="6" w:space="0" w:color="auto"/>
            </w:tcBorders>
            <w:vAlign w:val="center"/>
          </w:tcPr>
          <w:p w14:paraId="02ABAE19" w14:textId="3C2AABFF" w:rsidR="00291E5E" w:rsidRPr="00291E5E" w:rsidRDefault="00291E5E" w:rsidP="00EB5AF9">
            <w:pPr>
              <w:pStyle w:val="ARTableText"/>
              <w:jc w:val="center"/>
            </w:pPr>
            <w:r w:rsidRPr="00291E5E">
              <w:t>●</w:t>
            </w:r>
          </w:p>
        </w:tc>
        <w:tc>
          <w:tcPr>
            <w:tcW w:w="992" w:type="dxa"/>
            <w:tcBorders>
              <w:bottom w:val="single" w:sz="6" w:space="0" w:color="auto"/>
            </w:tcBorders>
            <w:vAlign w:val="center"/>
          </w:tcPr>
          <w:p w14:paraId="0B29A90D" w14:textId="77777777" w:rsidR="00291E5E" w:rsidRPr="00291E5E" w:rsidRDefault="00291E5E" w:rsidP="00EB5AF9">
            <w:pPr>
              <w:pStyle w:val="ARTableText"/>
              <w:jc w:val="center"/>
            </w:pPr>
            <w:r w:rsidRPr="00291E5E">
              <w:t>●</w:t>
            </w:r>
          </w:p>
        </w:tc>
        <w:tc>
          <w:tcPr>
            <w:tcW w:w="992" w:type="dxa"/>
            <w:tcBorders>
              <w:bottom w:val="single" w:sz="6" w:space="0" w:color="auto"/>
            </w:tcBorders>
            <w:vAlign w:val="center"/>
          </w:tcPr>
          <w:p w14:paraId="5847025B" w14:textId="77777777" w:rsidR="00291E5E" w:rsidRPr="00291E5E" w:rsidRDefault="00291E5E" w:rsidP="00EB5AF9">
            <w:pPr>
              <w:pStyle w:val="ARTableText"/>
              <w:jc w:val="center"/>
            </w:pPr>
          </w:p>
        </w:tc>
        <w:tc>
          <w:tcPr>
            <w:tcW w:w="1134" w:type="dxa"/>
            <w:tcBorders>
              <w:bottom w:val="single" w:sz="6" w:space="0" w:color="auto"/>
            </w:tcBorders>
            <w:vAlign w:val="center"/>
          </w:tcPr>
          <w:p w14:paraId="37324476" w14:textId="77777777" w:rsidR="00291E5E" w:rsidRPr="00291E5E" w:rsidRDefault="00291E5E" w:rsidP="00EB5AF9">
            <w:pPr>
              <w:pStyle w:val="ARTableText"/>
              <w:jc w:val="center"/>
            </w:pPr>
          </w:p>
        </w:tc>
        <w:tc>
          <w:tcPr>
            <w:tcW w:w="993" w:type="dxa"/>
            <w:tcBorders>
              <w:bottom w:val="single" w:sz="6" w:space="0" w:color="auto"/>
            </w:tcBorders>
            <w:vAlign w:val="center"/>
          </w:tcPr>
          <w:p w14:paraId="1E792FD2" w14:textId="77777777" w:rsidR="00291E5E" w:rsidRPr="00291E5E" w:rsidRDefault="00291E5E" w:rsidP="00EB5AF9">
            <w:pPr>
              <w:pStyle w:val="ARTableText"/>
              <w:jc w:val="center"/>
            </w:pPr>
          </w:p>
        </w:tc>
      </w:tr>
      <w:tr w:rsidR="00291E5E" w:rsidRPr="00291E5E" w14:paraId="23D041AA" w14:textId="77777777" w:rsidTr="009B68BF">
        <w:tc>
          <w:tcPr>
            <w:tcW w:w="3678" w:type="dxa"/>
            <w:tcBorders>
              <w:bottom w:val="single" w:sz="6" w:space="0" w:color="auto"/>
            </w:tcBorders>
          </w:tcPr>
          <w:p w14:paraId="0192B2CC" w14:textId="77777777" w:rsidR="00291E5E" w:rsidRPr="00291E5E" w:rsidRDefault="00291E5E" w:rsidP="00B12301">
            <w:pPr>
              <w:pStyle w:val="ARTableText"/>
            </w:pPr>
            <w:r w:rsidRPr="00291E5E">
              <w:t>s24AA(3) whether to allow longer period to request giving of summary of documents</w:t>
            </w:r>
          </w:p>
        </w:tc>
        <w:tc>
          <w:tcPr>
            <w:tcW w:w="1134" w:type="dxa"/>
            <w:tcBorders>
              <w:left w:val="nil"/>
              <w:bottom w:val="single" w:sz="6" w:space="0" w:color="auto"/>
            </w:tcBorders>
            <w:vAlign w:val="center"/>
          </w:tcPr>
          <w:p w14:paraId="2F7F2C47" w14:textId="4C15170C" w:rsidR="00291E5E" w:rsidRPr="00291E5E" w:rsidRDefault="00291E5E" w:rsidP="00EB5AF9">
            <w:pPr>
              <w:pStyle w:val="ARTableText"/>
              <w:jc w:val="center"/>
            </w:pPr>
            <w:r w:rsidRPr="00291E5E">
              <w:t>●</w:t>
            </w:r>
          </w:p>
        </w:tc>
        <w:tc>
          <w:tcPr>
            <w:tcW w:w="992" w:type="dxa"/>
            <w:tcBorders>
              <w:bottom w:val="single" w:sz="6" w:space="0" w:color="auto"/>
            </w:tcBorders>
            <w:vAlign w:val="center"/>
          </w:tcPr>
          <w:p w14:paraId="7137F188" w14:textId="77777777" w:rsidR="00291E5E" w:rsidRPr="00291E5E" w:rsidRDefault="00291E5E" w:rsidP="00EB5AF9">
            <w:pPr>
              <w:pStyle w:val="ARTableText"/>
              <w:jc w:val="center"/>
            </w:pPr>
            <w:r w:rsidRPr="00291E5E">
              <w:t>●</w:t>
            </w:r>
          </w:p>
        </w:tc>
        <w:tc>
          <w:tcPr>
            <w:tcW w:w="992" w:type="dxa"/>
            <w:tcBorders>
              <w:bottom w:val="single" w:sz="6" w:space="0" w:color="auto"/>
            </w:tcBorders>
            <w:vAlign w:val="center"/>
          </w:tcPr>
          <w:p w14:paraId="0A39D476" w14:textId="77777777" w:rsidR="00291E5E" w:rsidRPr="00291E5E" w:rsidRDefault="00291E5E" w:rsidP="00EB5AF9">
            <w:pPr>
              <w:pStyle w:val="ARTableText"/>
              <w:jc w:val="center"/>
            </w:pPr>
          </w:p>
        </w:tc>
        <w:tc>
          <w:tcPr>
            <w:tcW w:w="1134" w:type="dxa"/>
            <w:tcBorders>
              <w:bottom w:val="single" w:sz="6" w:space="0" w:color="auto"/>
            </w:tcBorders>
            <w:vAlign w:val="center"/>
          </w:tcPr>
          <w:p w14:paraId="679875A0" w14:textId="77777777" w:rsidR="00291E5E" w:rsidRPr="00291E5E" w:rsidRDefault="00291E5E" w:rsidP="00EB5AF9">
            <w:pPr>
              <w:pStyle w:val="ARTableText"/>
              <w:jc w:val="center"/>
            </w:pPr>
          </w:p>
        </w:tc>
        <w:tc>
          <w:tcPr>
            <w:tcW w:w="993" w:type="dxa"/>
            <w:tcBorders>
              <w:bottom w:val="single" w:sz="6" w:space="0" w:color="auto"/>
            </w:tcBorders>
            <w:vAlign w:val="center"/>
          </w:tcPr>
          <w:p w14:paraId="5EE57542" w14:textId="77777777" w:rsidR="00291E5E" w:rsidRPr="00291E5E" w:rsidRDefault="00291E5E" w:rsidP="00EB5AF9">
            <w:pPr>
              <w:pStyle w:val="ARTableText"/>
              <w:jc w:val="center"/>
            </w:pPr>
          </w:p>
        </w:tc>
      </w:tr>
      <w:tr w:rsidR="00291E5E" w:rsidRPr="00291E5E" w14:paraId="09B0A54F" w14:textId="77777777" w:rsidTr="009B68BF">
        <w:tc>
          <w:tcPr>
            <w:tcW w:w="3678" w:type="dxa"/>
            <w:tcBorders>
              <w:bottom w:val="single" w:sz="6" w:space="0" w:color="auto"/>
            </w:tcBorders>
            <w:shd w:val="clear" w:color="auto" w:fill="auto"/>
          </w:tcPr>
          <w:p w14:paraId="0773E4B0" w14:textId="77777777" w:rsidR="00291E5E" w:rsidRPr="00291E5E" w:rsidRDefault="00291E5E" w:rsidP="00B12301">
            <w:pPr>
              <w:pStyle w:val="ARTableText"/>
            </w:pPr>
            <w:r w:rsidRPr="00291E5E">
              <w:t>s24AA(4) whether to give notice to joined party to give copies of specified documents</w:t>
            </w:r>
          </w:p>
        </w:tc>
        <w:tc>
          <w:tcPr>
            <w:tcW w:w="1134" w:type="dxa"/>
            <w:tcBorders>
              <w:left w:val="nil"/>
              <w:bottom w:val="single" w:sz="6" w:space="0" w:color="auto"/>
            </w:tcBorders>
            <w:shd w:val="clear" w:color="auto" w:fill="auto"/>
            <w:vAlign w:val="center"/>
          </w:tcPr>
          <w:p w14:paraId="7D1DA658" w14:textId="60221727" w:rsidR="00291E5E" w:rsidRPr="00291E5E" w:rsidRDefault="00291E5E" w:rsidP="00EB5AF9">
            <w:pPr>
              <w:pStyle w:val="ARTableText"/>
              <w:jc w:val="center"/>
            </w:pPr>
            <w:r w:rsidRPr="00291E5E">
              <w:t>●</w:t>
            </w:r>
          </w:p>
        </w:tc>
        <w:tc>
          <w:tcPr>
            <w:tcW w:w="992" w:type="dxa"/>
            <w:tcBorders>
              <w:bottom w:val="single" w:sz="6" w:space="0" w:color="auto"/>
            </w:tcBorders>
            <w:shd w:val="clear" w:color="auto" w:fill="auto"/>
            <w:vAlign w:val="center"/>
          </w:tcPr>
          <w:p w14:paraId="133B7EB5" w14:textId="16DF0D4F" w:rsidR="00291E5E" w:rsidRPr="00291E5E" w:rsidRDefault="00291E5E" w:rsidP="00EB5AF9">
            <w:pPr>
              <w:pStyle w:val="ARTableText"/>
              <w:jc w:val="center"/>
            </w:pPr>
            <w:r w:rsidRPr="00291E5E">
              <w:t>●</w:t>
            </w:r>
          </w:p>
        </w:tc>
        <w:tc>
          <w:tcPr>
            <w:tcW w:w="992" w:type="dxa"/>
            <w:tcBorders>
              <w:bottom w:val="single" w:sz="6" w:space="0" w:color="auto"/>
            </w:tcBorders>
            <w:shd w:val="clear" w:color="auto" w:fill="auto"/>
            <w:vAlign w:val="center"/>
          </w:tcPr>
          <w:p w14:paraId="40B0F812" w14:textId="77777777" w:rsidR="00291E5E" w:rsidRPr="00291E5E" w:rsidRDefault="00291E5E" w:rsidP="00EB5AF9">
            <w:pPr>
              <w:pStyle w:val="ARTableText"/>
              <w:jc w:val="center"/>
            </w:pPr>
          </w:p>
        </w:tc>
        <w:tc>
          <w:tcPr>
            <w:tcW w:w="1134" w:type="dxa"/>
            <w:tcBorders>
              <w:bottom w:val="single" w:sz="6" w:space="0" w:color="auto"/>
            </w:tcBorders>
            <w:shd w:val="clear" w:color="auto" w:fill="auto"/>
            <w:vAlign w:val="center"/>
          </w:tcPr>
          <w:p w14:paraId="1A5454CD" w14:textId="77777777" w:rsidR="00291E5E" w:rsidRPr="00291E5E" w:rsidRDefault="00291E5E" w:rsidP="00EB5AF9">
            <w:pPr>
              <w:pStyle w:val="ARTableText"/>
              <w:jc w:val="center"/>
            </w:pPr>
          </w:p>
        </w:tc>
        <w:tc>
          <w:tcPr>
            <w:tcW w:w="993" w:type="dxa"/>
            <w:tcBorders>
              <w:bottom w:val="single" w:sz="6" w:space="0" w:color="auto"/>
            </w:tcBorders>
            <w:shd w:val="clear" w:color="auto" w:fill="auto"/>
            <w:vAlign w:val="center"/>
          </w:tcPr>
          <w:p w14:paraId="30460814" w14:textId="77777777" w:rsidR="00291E5E" w:rsidRPr="00291E5E" w:rsidRDefault="00291E5E" w:rsidP="00EB5AF9">
            <w:pPr>
              <w:pStyle w:val="ARTableText"/>
              <w:jc w:val="center"/>
            </w:pPr>
          </w:p>
        </w:tc>
      </w:tr>
      <w:tr w:rsidR="00291E5E" w:rsidRPr="00291E5E" w14:paraId="5549386E" w14:textId="77777777" w:rsidTr="009B68BF">
        <w:tc>
          <w:tcPr>
            <w:tcW w:w="3678" w:type="dxa"/>
            <w:tcBorders>
              <w:bottom w:val="single" w:sz="6" w:space="0" w:color="auto"/>
            </w:tcBorders>
            <w:shd w:val="clear" w:color="auto" w:fill="auto"/>
          </w:tcPr>
          <w:p w14:paraId="58C28A76" w14:textId="77777777" w:rsidR="00291E5E" w:rsidRPr="00291E5E" w:rsidRDefault="00291E5E" w:rsidP="00B12301">
            <w:pPr>
              <w:pStyle w:val="ARTableText"/>
            </w:pPr>
            <w:r w:rsidRPr="00291E5E">
              <w:t>s24AA(4) whether to allow longer period for joined parties to give documents</w:t>
            </w:r>
          </w:p>
        </w:tc>
        <w:tc>
          <w:tcPr>
            <w:tcW w:w="1134" w:type="dxa"/>
            <w:tcBorders>
              <w:left w:val="nil"/>
              <w:bottom w:val="single" w:sz="6" w:space="0" w:color="auto"/>
            </w:tcBorders>
            <w:shd w:val="clear" w:color="auto" w:fill="auto"/>
            <w:vAlign w:val="center"/>
          </w:tcPr>
          <w:p w14:paraId="451BB4D8" w14:textId="6889EE35" w:rsidR="00291E5E" w:rsidRPr="00291E5E" w:rsidRDefault="00291E5E" w:rsidP="00EB5AF9">
            <w:pPr>
              <w:pStyle w:val="ARTableText"/>
              <w:jc w:val="center"/>
            </w:pPr>
            <w:r w:rsidRPr="00291E5E">
              <w:t>●</w:t>
            </w:r>
          </w:p>
        </w:tc>
        <w:tc>
          <w:tcPr>
            <w:tcW w:w="992" w:type="dxa"/>
            <w:tcBorders>
              <w:bottom w:val="single" w:sz="6" w:space="0" w:color="auto"/>
            </w:tcBorders>
            <w:shd w:val="clear" w:color="auto" w:fill="auto"/>
            <w:vAlign w:val="center"/>
          </w:tcPr>
          <w:p w14:paraId="49CFBF26" w14:textId="525D837B" w:rsidR="00291E5E" w:rsidRPr="00291E5E" w:rsidRDefault="00291E5E" w:rsidP="00EB5AF9">
            <w:pPr>
              <w:pStyle w:val="ARTableText"/>
              <w:jc w:val="center"/>
            </w:pPr>
            <w:r w:rsidRPr="00291E5E">
              <w:t>●</w:t>
            </w:r>
          </w:p>
        </w:tc>
        <w:tc>
          <w:tcPr>
            <w:tcW w:w="992" w:type="dxa"/>
            <w:tcBorders>
              <w:bottom w:val="single" w:sz="6" w:space="0" w:color="auto"/>
            </w:tcBorders>
            <w:shd w:val="clear" w:color="auto" w:fill="auto"/>
            <w:vAlign w:val="center"/>
          </w:tcPr>
          <w:p w14:paraId="430D22A2" w14:textId="77777777" w:rsidR="00291E5E" w:rsidRPr="00291E5E" w:rsidRDefault="00291E5E" w:rsidP="00EB5AF9">
            <w:pPr>
              <w:pStyle w:val="ARTableText"/>
              <w:jc w:val="center"/>
            </w:pPr>
          </w:p>
        </w:tc>
        <w:tc>
          <w:tcPr>
            <w:tcW w:w="1134" w:type="dxa"/>
            <w:tcBorders>
              <w:bottom w:val="single" w:sz="6" w:space="0" w:color="auto"/>
            </w:tcBorders>
            <w:shd w:val="clear" w:color="auto" w:fill="auto"/>
            <w:vAlign w:val="center"/>
          </w:tcPr>
          <w:p w14:paraId="2EE1F494" w14:textId="77777777" w:rsidR="00291E5E" w:rsidRPr="00291E5E" w:rsidRDefault="00291E5E" w:rsidP="00EB5AF9">
            <w:pPr>
              <w:pStyle w:val="ARTableText"/>
              <w:jc w:val="center"/>
            </w:pPr>
          </w:p>
        </w:tc>
        <w:tc>
          <w:tcPr>
            <w:tcW w:w="993" w:type="dxa"/>
            <w:tcBorders>
              <w:bottom w:val="single" w:sz="6" w:space="0" w:color="auto"/>
            </w:tcBorders>
            <w:shd w:val="clear" w:color="auto" w:fill="auto"/>
            <w:vAlign w:val="center"/>
          </w:tcPr>
          <w:p w14:paraId="2D70A3D0" w14:textId="77777777" w:rsidR="00291E5E" w:rsidRPr="00291E5E" w:rsidRDefault="00291E5E" w:rsidP="00EB5AF9">
            <w:pPr>
              <w:pStyle w:val="ARTableText"/>
              <w:jc w:val="center"/>
            </w:pPr>
          </w:p>
        </w:tc>
      </w:tr>
      <w:tr w:rsidR="00291E5E" w:rsidRPr="00291E5E" w14:paraId="69AD2270" w14:textId="77777777" w:rsidTr="009B68BF">
        <w:tc>
          <w:tcPr>
            <w:tcW w:w="3678" w:type="dxa"/>
            <w:tcBorders>
              <w:top w:val="single" w:sz="6" w:space="0" w:color="auto"/>
            </w:tcBorders>
          </w:tcPr>
          <w:p w14:paraId="7506B3F1" w14:textId="77777777" w:rsidR="00291E5E" w:rsidRPr="00291E5E" w:rsidRDefault="00291E5E" w:rsidP="00B12301">
            <w:pPr>
              <w:pStyle w:val="ARTableText"/>
            </w:pPr>
            <w:r w:rsidRPr="00291E5E">
              <w:t>s24A(1), (2), (2A) &amp; (2B) whether to allow a period longer than 28 days re death benefit notifications by trustee/insurer/</w:t>
            </w:r>
          </w:p>
          <w:p w14:paraId="1D32188B" w14:textId="77777777" w:rsidR="00291E5E" w:rsidRPr="00291E5E" w:rsidRDefault="00291E5E" w:rsidP="00B12301">
            <w:pPr>
              <w:pStyle w:val="ARTableText"/>
            </w:pPr>
            <w:r w:rsidRPr="00291E5E">
              <w:t>RSA provider</w:t>
            </w:r>
          </w:p>
        </w:tc>
        <w:tc>
          <w:tcPr>
            <w:tcW w:w="1134" w:type="dxa"/>
            <w:tcBorders>
              <w:top w:val="single" w:sz="6" w:space="0" w:color="auto"/>
            </w:tcBorders>
            <w:vAlign w:val="center"/>
          </w:tcPr>
          <w:p w14:paraId="7B44D61D" w14:textId="0E845002" w:rsidR="00291E5E" w:rsidRPr="00291E5E" w:rsidRDefault="00291E5E" w:rsidP="00EB5AF9">
            <w:pPr>
              <w:pStyle w:val="ARTableText"/>
              <w:jc w:val="center"/>
            </w:pPr>
            <w:r w:rsidRPr="00291E5E">
              <w:t>●</w:t>
            </w:r>
          </w:p>
        </w:tc>
        <w:tc>
          <w:tcPr>
            <w:tcW w:w="992" w:type="dxa"/>
            <w:tcBorders>
              <w:top w:val="single" w:sz="6" w:space="0" w:color="auto"/>
            </w:tcBorders>
            <w:vAlign w:val="center"/>
          </w:tcPr>
          <w:p w14:paraId="36EC85A5" w14:textId="77777777" w:rsidR="00291E5E" w:rsidRPr="00291E5E" w:rsidRDefault="00291E5E" w:rsidP="00EB5AF9">
            <w:pPr>
              <w:pStyle w:val="ARTableText"/>
              <w:jc w:val="center"/>
            </w:pPr>
            <w:r w:rsidRPr="00291E5E">
              <w:t>●</w:t>
            </w:r>
          </w:p>
        </w:tc>
        <w:tc>
          <w:tcPr>
            <w:tcW w:w="992" w:type="dxa"/>
            <w:tcBorders>
              <w:top w:val="single" w:sz="6" w:space="0" w:color="auto"/>
            </w:tcBorders>
            <w:vAlign w:val="center"/>
          </w:tcPr>
          <w:p w14:paraId="2ACFD2A6" w14:textId="77777777" w:rsidR="00291E5E" w:rsidRPr="00291E5E" w:rsidRDefault="00291E5E" w:rsidP="00EB5AF9">
            <w:pPr>
              <w:pStyle w:val="ARTableText"/>
              <w:jc w:val="center"/>
            </w:pPr>
          </w:p>
        </w:tc>
        <w:tc>
          <w:tcPr>
            <w:tcW w:w="1134" w:type="dxa"/>
            <w:tcBorders>
              <w:top w:val="single" w:sz="6" w:space="0" w:color="auto"/>
            </w:tcBorders>
            <w:vAlign w:val="center"/>
          </w:tcPr>
          <w:p w14:paraId="01D0FDA1" w14:textId="77777777" w:rsidR="00291E5E" w:rsidRPr="00291E5E" w:rsidRDefault="00291E5E" w:rsidP="00EB5AF9">
            <w:pPr>
              <w:pStyle w:val="ARTableText"/>
              <w:jc w:val="center"/>
            </w:pPr>
          </w:p>
        </w:tc>
        <w:tc>
          <w:tcPr>
            <w:tcW w:w="993" w:type="dxa"/>
            <w:tcBorders>
              <w:top w:val="single" w:sz="6" w:space="0" w:color="auto"/>
            </w:tcBorders>
            <w:vAlign w:val="center"/>
          </w:tcPr>
          <w:p w14:paraId="499EBC5D" w14:textId="77777777" w:rsidR="00291E5E" w:rsidRPr="00291E5E" w:rsidRDefault="00291E5E" w:rsidP="00EB5AF9">
            <w:pPr>
              <w:pStyle w:val="ARTableText"/>
              <w:jc w:val="center"/>
            </w:pPr>
          </w:p>
        </w:tc>
      </w:tr>
      <w:tr w:rsidR="00291E5E" w:rsidRPr="00291E5E" w14:paraId="6A5703AA" w14:textId="77777777" w:rsidTr="009B68BF">
        <w:tc>
          <w:tcPr>
            <w:tcW w:w="3678" w:type="dxa"/>
            <w:tcBorders>
              <w:top w:val="single" w:sz="6" w:space="0" w:color="auto"/>
              <w:left w:val="single" w:sz="6" w:space="0" w:color="auto"/>
              <w:bottom w:val="single" w:sz="6" w:space="0" w:color="auto"/>
              <w:right w:val="single" w:sz="6" w:space="0" w:color="auto"/>
            </w:tcBorders>
          </w:tcPr>
          <w:p w14:paraId="320F0DB0" w14:textId="77777777" w:rsidR="00291E5E" w:rsidRPr="00291E5E" w:rsidRDefault="00291E5E" w:rsidP="00B12301">
            <w:pPr>
              <w:pStyle w:val="ARTableText"/>
            </w:pPr>
            <w:r w:rsidRPr="00291E5E">
              <w:lastRenderedPageBreak/>
              <w:t>s24A(3) whether to allow a period further than 28 days to be given in death benefit notification</w:t>
            </w:r>
          </w:p>
        </w:tc>
        <w:tc>
          <w:tcPr>
            <w:tcW w:w="1134" w:type="dxa"/>
            <w:tcBorders>
              <w:top w:val="single" w:sz="6" w:space="0" w:color="auto"/>
              <w:left w:val="single" w:sz="6" w:space="0" w:color="auto"/>
              <w:bottom w:val="single" w:sz="6" w:space="0" w:color="auto"/>
              <w:right w:val="single" w:sz="6" w:space="0" w:color="auto"/>
            </w:tcBorders>
            <w:vAlign w:val="center"/>
          </w:tcPr>
          <w:p w14:paraId="704A60AB" w14:textId="04FE0DA9" w:rsidR="00291E5E" w:rsidRPr="00291E5E" w:rsidRDefault="00291E5E" w:rsidP="00EB5AF9">
            <w:pPr>
              <w:pStyle w:val="ARTableText"/>
              <w:jc w:val="center"/>
            </w:pPr>
            <w:r w:rsidRPr="00291E5E">
              <w:t>●</w:t>
            </w:r>
          </w:p>
        </w:tc>
        <w:tc>
          <w:tcPr>
            <w:tcW w:w="992" w:type="dxa"/>
            <w:tcBorders>
              <w:top w:val="single" w:sz="6" w:space="0" w:color="auto"/>
              <w:left w:val="single" w:sz="6" w:space="0" w:color="auto"/>
              <w:bottom w:val="single" w:sz="6" w:space="0" w:color="auto"/>
              <w:right w:val="single" w:sz="6" w:space="0" w:color="auto"/>
            </w:tcBorders>
            <w:vAlign w:val="center"/>
          </w:tcPr>
          <w:p w14:paraId="64EABB8F" w14:textId="77777777" w:rsidR="00291E5E" w:rsidRPr="00291E5E" w:rsidRDefault="00291E5E" w:rsidP="00EB5AF9">
            <w:pPr>
              <w:pStyle w:val="ARTableText"/>
              <w:jc w:val="center"/>
            </w:pPr>
            <w:r w:rsidRPr="00291E5E">
              <w:t>●</w:t>
            </w:r>
          </w:p>
        </w:tc>
        <w:tc>
          <w:tcPr>
            <w:tcW w:w="992" w:type="dxa"/>
            <w:tcBorders>
              <w:top w:val="single" w:sz="6" w:space="0" w:color="auto"/>
              <w:left w:val="single" w:sz="6" w:space="0" w:color="auto"/>
              <w:bottom w:val="single" w:sz="6" w:space="0" w:color="auto"/>
              <w:right w:val="single" w:sz="6" w:space="0" w:color="auto"/>
            </w:tcBorders>
            <w:vAlign w:val="center"/>
          </w:tcPr>
          <w:p w14:paraId="1C2A44E1" w14:textId="77777777" w:rsidR="00291E5E" w:rsidRPr="00291E5E" w:rsidRDefault="00291E5E" w:rsidP="00EB5AF9">
            <w:pPr>
              <w:pStyle w:val="ARTableText"/>
              <w:jc w:val="center"/>
            </w:pPr>
          </w:p>
        </w:tc>
        <w:tc>
          <w:tcPr>
            <w:tcW w:w="1134" w:type="dxa"/>
            <w:tcBorders>
              <w:top w:val="single" w:sz="6" w:space="0" w:color="auto"/>
              <w:left w:val="single" w:sz="6" w:space="0" w:color="auto"/>
              <w:bottom w:val="single" w:sz="6" w:space="0" w:color="auto"/>
              <w:right w:val="single" w:sz="6" w:space="0" w:color="auto"/>
            </w:tcBorders>
            <w:vAlign w:val="center"/>
          </w:tcPr>
          <w:p w14:paraId="1CA11CBE" w14:textId="77777777" w:rsidR="00291E5E" w:rsidRPr="00291E5E" w:rsidRDefault="00291E5E" w:rsidP="00EB5AF9">
            <w:pPr>
              <w:pStyle w:val="ARTableTex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6BD876EB" w14:textId="77777777" w:rsidR="00291E5E" w:rsidRPr="00291E5E" w:rsidRDefault="00291E5E" w:rsidP="00EB5AF9">
            <w:pPr>
              <w:pStyle w:val="ARTableText"/>
              <w:jc w:val="center"/>
            </w:pPr>
          </w:p>
        </w:tc>
      </w:tr>
      <w:tr w:rsidR="00291E5E" w:rsidRPr="00291E5E" w14:paraId="1344017A" w14:textId="77777777" w:rsidTr="009B68BF">
        <w:tc>
          <w:tcPr>
            <w:tcW w:w="3678" w:type="dxa"/>
            <w:tcBorders>
              <w:top w:val="single" w:sz="6" w:space="0" w:color="auto"/>
              <w:left w:val="single" w:sz="6" w:space="0" w:color="auto"/>
              <w:bottom w:val="single" w:sz="6" w:space="0" w:color="auto"/>
              <w:right w:val="single" w:sz="6" w:space="0" w:color="auto"/>
            </w:tcBorders>
          </w:tcPr>
          <w:p w14:paraId="273478FC" w14:textId="77777777" w:rsidR="00291E5E" w:rsidRPr="00291E5E" w:rsidRDefault="00291E5E" w:rsidP="00B12301">
            <w:pPr>
              <w:pStyle w:val="ARTableText"/>
            </w:pPr>
            <w:r w:rsidRPr="00291E5E">
              <w:t>s24A(5) whether to join party if party applies outside time notified</w:t>
            </w:r>
          </w:p>
        </w:tc>
        <w:tc>
          <w:tcPr>
            <w:tcW w:w="1134" w:type="dxa"/>
            <w:tcBorders>
              <w:top w:val="single" w:sz="6" w:space="0" w:color="auto"/>
              <w:left w:val="single" w:sz="6" w:space="0" w:color="auto"/>
              <w:bottom w:val="single" w:sz="6" w:space="0" w:color="auto"/>
              <w:right w:val="single" w:sz="6" w:space="0" w:color="auto"/>
            </w:tcBorders>
            <w:vAlign w:val="center"/>
          </w:tcPr>
          <w:p w14:paraId="0ED1FF86" w14:textId="215EB0F6" w:rsidR="00291E5E" w:rsidRPr="00291E5E" w:rsidRDefault="00291E5E" w:rsidP="00EB5AF9">
            <w:pPr>
              <w:pStyle w:val="ARTableText"/>
              <w:jc w:val="center"/>
            </w:pPr>
            <w:r w:rsidRPr="00291E5E">
              <w:t>●</w:t>
            </w:r>
          </w:p>
        </w:tc>
        <w:tc>
          <w:tcPr>
            <w:tcW w:w="992" w:type="dxa"/>
            <w:tcBorders>
              <w:top w:val="single" w:sz="6" w:space="0" w:color="auto"/>
              <w:left w:val="single" w:sz="6" w:space="0" w:color="auto"/>
              <w:bottom w:val="single" w:sz="6" w:space="0" w:color="auto"/>
              <w:right w:val="single" w:sz="6" w:space="0" w:color="auto"/>
            </w:tcBorders>
            <w:vAlign w:val="center"/>
          </w:tcPr>
          <w:p w14:paraId="339ADED8" w14:textId="48B7996B" w:rsidR="00291E5E" w:rsidRPr="00291E5E" w:rsidRDefault="00291E5E" w:rsidP="00EB5AF9">
            <w:pPr>
              <w:pStyle w:val="ARTableText"/>
              <w:jc w:val="center"/>
            </w:pPr>
            <w:r w:rsidRPr="00291E5E">
              <w:t>●</w:t>
            </w:r>
          </w:p>
        </w:tc>
        <w:tc>
          <w:tcPr>
            <w:tcW w:w="992" w:type="dxa"/>
            <w:tcBorders>
              <w:top w:val="single" w:sz="6" w:space="0" w:color="auto"/>
              <w:left w:val="single" w:sz="6" w:space="0" w:color="auto"/>
              <w:bottom w:val="single" w:sz="6" w:space="0" w:color="auto"/>
              <w:right w:val="single" w:sz="6" w:space="0" w:color="auto"/>
            </w:tcBorders>
            <w:vAlign w:val="center"/>
          </w:tcPr>
          <w:p w14:paraId="6F2D94A9" w14:textId="468585B9" w:rsidR="00291E5E" w:rsidRPr="00291E5E" w:rsidRDefault="00291E5E" w:rsidP="00EB5AF9">
            <w:pPr>
              <w:pStyle w:val="ARTableText"/>
              <w:jc w:val="center"/>
            </w:pPr>
            <w:r w:rsidRPr="00291E5E">
              <w:t>●</w:t>
            </w:r>
          </w:p>
        </w:tc>
        <w:tc>
          <w:tcPr>
            <w:tcW w:w="1134" w:type="dxa"/>
            <w:tcBorders>
              <w:top w:val="single" w:sz="6" w:space="0" w:color="auto"/>
              <w:left w:val="single" w:sz="6" w:space="0" w:color="auto"/>
              <w:bottom w:val="single" w:sz="6" w:space="0" w:color="auto"/>
              <w:right w:val="single" w:sz="6" w:space="0" w:color="auto"/>
            </w:tcBorders>
            <w:vAlign w:val="center"/>
          </w:tcPr>
          <w:p w14:paraId="16DA5FA5" w14:textId="0B67DA9C" w:rsidR="00291E5E" w:rsidRPr="00291E5E" w:rsidRDefault="00291E5E" w:rsidP="00EB5AF9">
            <w:pPr>
              <w:pStyle w:val="ARTableText"/>
              <w:jc w:val="center"/>
            </w:pPr>
            <w:r w:rsidRPr="00291E5E">
              <w:t>●</w:t>
            </w:r>
          </w:p>
        </w:tc>
        <w:tc>
          <w:tcPr>
            <w:tcW w:w="993" w:type="dxa"/>
            <w:tcBorders>
              <w:top w:val="single" w:sz="6" w:space="0" w:color="auto"/>
              <w:left w:val="single" w:sz="6" w:space="0" w:color="auto"/>
              <w:bottom w:val="single" w:sz="6" w:space="0" w:color="auto"/>
              <w:right w:val="single" w:sz="6" w:space="0" w:color="auto"/>
            </w:tcBorders>
            <w:vAlign w:val="center"/>
          </w:tcPr>
          <w:p w14:paraId="52940300" w14:textId="77777777" w:rsidR="00291E5E" w:rsidRPr="00291E5E" w:rsidRDefault="00291E5E" w:rsidP="00EB5AF9">
            <w:pPr>
              <w:pStyle w:val="ARTableText"/>
              <w:jc w:val="center"/>
            </w:pPr>
          </w:p>
        </w:tc>
      </w:tr>
      <w:tr w:rsidR="00291E5E" w:rsidRPr="00291E5E" w14:paraId="239F2968" w14:textId="77777777" w:rsidTr="009B68BF">
        <w:tc>
          <w:tcPr>
            <w:tcW w:w="3678" w:type="dxa"/>
          </w:tcPr>
          <w:p w14:paraId="32F95D11" w14:textId="77777777" w:rsidR="00291E5E" w:rsidRPr="00291E5E" w:rsidRDefault="00291E5E" w:rsidP="00B12301">
            <w:pPr>
              <w:pStyle w:val="ARTableText"/>
            </w:pPr>
            <w:r w:rsidRPr="00291E5E">
              <w:t>s27(a) to determine whether a complaint has been made</w:t>
            </w:r>
          </w:p>
        </w:tc>
        <w:tc>
          <w:tcPr>
            <w:tcW w:w="1134" w:type="dxa"/>
            <w:vAlign w:val="center"/>
          </w:tcPr>
          <w:p w14:paraId="1E8D3325" w14:textId="180F5813" w:rsidR="00291E5E" w:rsidRPr="00291E5E" w:rsidRDefault="00291E5E" w:rsidP="00EB5AF9">
            <w:pPr>
              <w:pStyle w:val="ARTableText"/>
              <w:jc w:val="center"/>
            </w:pPr>
            <w:r w:rsidRPr="00291E5E">
              <w:t>●</w:t>
            </w:r>
          </w:p>
        </w:tc>
        <w:tc>
          <w:tcPr>
            <w:tcW w:w="992" w:type="dxa"/>
            <w:vAlign w:val="center"/>
          </w:tcPr>
          <w:p w14:paraId="57ED3CF8" w14:textId="1FB2964A" w:rsidR="00291E5E" w:rsidRPr="00291E5E" w:rsidRDefault="00291E5E" w:rsidP="00EB5AF9">
            <w:pPr>
              <w:pStyle w:val="ARTableText"/>
              <w:jc w:val="center"/>
            </w:pPr>
            <w:r w:rsidRPr="00291E5E">
              <w:t>●</w:t>
            </w:r>
          </w:p>
        </w:tc>
        <w:tc>
          <w:tcPr>
            <w:tcW w:w="992" w:type="dxa"/>
            <w:vAlign w:val="center"/>
          </w:tcPr>
          <w:p w14:paraId="4CD92B2A" w14:textId="213C5001" w:rsidR="00291E5E" w:rsidRPr="00291E5E" w:rsidRDefault="00291E5E" w:rsidP="00EB5AF9">
            <w:pPr>
              <w:pStyle w:val="ARTableText"/>
              <w:jc w:val="center"/>
            </w:pPr>
            <w:r w:rsidRPr="00291E5E">
              <w:t>●</w:t>
            </w:r>
          </w:p>
        </w:tc>
        <w:tc>
          <w:tcPr>
            <w:tcW w:w="1134" w:type="dxa"/>
            <w:vAlign w:val="center"/>
          </w:tcPr>
          <w:p w14:paraId="09FE16A9" w14:textId="77777777" w:rsidR="00291E5E" w:rsidRPr="00291E5E" w:rsidRDefault="00291E5E" w:rsidP="00EB5AF9">
            <w:pPr>
              <w:pStyle w:val="ARTableText"/>
              <w:jc w:val="center"/>
            </w:pPr>
            <w:r w:rsidRPr="00291E5E">
              <w:t>●</w:t>
            </w:r>
          </w:p>
        </w:tc>
        <w:tc>
          <w:tcPr>
            <w:tcW w:w="993" w:type="dxa"/>
            <w:vAlign w:val="center"/>
          </w:tcPr>
          <w:p w14:paraId="773ABE30" w14:textId="2A3A4254" w:rsidR="00291E5E" w:rsidRPr="00291E5E" w:rsidRDefault="00291E5E" w:rsidP="00EB5AF9">
            <w:pPr>
              <w:pStyle w:val="ARTableText"/>
              <w:jc w:val="center"/>
            </w:pPr>
          </w:p>
        </w:tc>
      </w:tr>
      <w:tr w:rsidR="00291E5E" w:rsidRPr="00291E5E" w14:paraId="0D122C2A" w14:textId="77777777" w:rsidTr="009B68BF">
        <w:tc>
          <w:tcPr>
            <w:tcW w:w="3678" w:type="dxa"/>
          </w:tcPr>
          <w:p w14:paraId="2C0438E6" w14:textId="77777777" w:rsidR="00291E5E" w:rsidRPr="00291E5E" w:rsidRDefault="00291E5E" w:rsidP="00B12301">
            <w:pPr>
              <w:pStyle w:val="ARTableText"/>
            </w:pPr>
            <w:r w:rsidRPr="00291E5E">
              <w:t>s27(b) to determine whether a complaint has not been withdrawn</w:t>
            </w:r>
          </w:p>
        </w:tc>
        <w:tc>
          <w:tcPr>
            <w:tcW w:w="1134" w:type="dxa"/>
            <w:vAlign w:val="center"/>
          </w:tcPr>
          <w:p w14:paraId="03202FB0" w14:textId="21D5F5E8" w:rsidR="00291E5E" w:rsidRPr="00291E5E" w:rsidRDefault="00291E5E" w:rsidP="00EB5AF9">
            <w:pPr>
              <w:pStyle w:val="ARTableText"/>
              <w:jc w:val="center"/>
            </w:pPr>
            <w:r w:rsidRPr="00291E5E">
              <w:t>●</w:t>
            </w:r>
          </w:p>
        </w:tc>
        <w:tc>
          <w:tcPr>
            <w:tcW w:w="992" w:type="dxa"/>
            <w:vAlign w:val="center"/>
          </w:tcPr>
          <w:p w14:paraId="202AAD67" w14:textId="284779F5" w:rsidR="00291E5E" w:rsidRPr="00291E5E" w:rsidRDefault="00291E5E" w:rsidP="00EB5AF9">
            <w:pPr>
              <w:pStyle w:val="ARTableText"/>
              <w:jc w:val="center"/>
            </w:pPr>
            <w:r w:rsidRPr="00291E5E">
              <w:t>●</w:t>
            </w:r>
          </w:p>
        </w:tc>
        <w:tc>
          <w:tcPr>
            <w:tcW w:w="992" w:type="dxa"/>
            <w:vAlign w:val="center"/>
          </w:tcPr>
          <w:p w14:paraId="20C90C6F" w14:textId="591E7A14" w:rsidR="00291E5E" w:rsidRPr="00291E5E" w:rsidRDefault="00291E5E" w:rsidP="00EB5AF9">
            <w:pPr>
              <w:pStyle w:val="ARTableText"/>
              <w:jc w:val="center"/>
            </w:pPr>
            <w:r w:rsidRPr="00291E5E">
              <w:t>●</w:t>
            </w:r>
          </w:p>
        </w:tc>
        <w:tc>
          <w:tcPr>
            <w:tcW w:w="1134" w:type="dxa"/>
            <w:vAlign w:val="center"/>
          </w:tcPr>
          <w:p w14:paraId="38C530A7" w14:textId="013E3573" w:rsidR="00291E5E" w:rsidRPr="00291E5E" w:rsidRDefault="00291E5E" w:rsidP="00EB5AF9">
            <w:pPr>
              <w:pStyle w:val="ARTableText"/>
              <w:jc w:val="center"/>
            </w:pPr>
            <w:r w:rsidRPr="00291E5E">
              <w:t>●</w:t>
            </w:r>
          </w:p>
        </w:tc>
        <w:tc>
          <w:tcPr>
            <w:tcW w:w="993" w:type="dxa"/>
            <w:vAlign w:val="center"/>
          </w:tcPr>
          <w:p w14:paraId="7FE847A9" w14:textId="77777777" w:rsidR="00291E5E" w:rsidRPr="00291E5E" w:rsidRDefault="00291E5E" w:rsidP="00EB5AF9">
            <w:pPr>
              <w:pStyle w:val="ARTableText"/>
              <w:jc w:val="center"/>
            </w:pPr>
          </w:p>
        </w:tc>
      </w:tr>
      <w:tr w:rsidR="00291E5E" w:rsidRPr="00291E5E" w14:paraId="6C076233" w14:textId="77777777" w:rsidTr="009B68BF">
        <w:tc>
          <w:tcPr>
            <w:tcW w:w="3678" w:type="dxa"/>
          </w:tcPr>
          <w:p w14:paraId="0D34EDD9" w14:textId="77777777" w:rsidR="00291E5E" w:rsidRPr="00291E5E" w:rsidRDefault="00291E5E" w:rsidP="00B12301">
            <w:pPr>
              <w:pStyle w:val="ARTableText"/>
            </w:pPr>
            <w:r w:rsidRPr="00291E5E">
              <w:t>s27(c) whether to be satisfied that the Tribunal can deal with the complaint</w:t>
            </w:r>
          </w:p>
        </w:tc>
        <w:tc>
          <w:tcPr>
            <w:tcW w:w="1134" w:type="dxa"/>
            <w:vAlign w:val="center"/>
          </w:tcPr>
          <w:p w14:paraId="3DC71E66" w14:textId="4A952AA2" w:rsidR="00291E5E" w:rsidRPr="00291E5E" w:rsidRDefault="00291E5E" w:rsidP="00EB5AF9">
            <w:pPr>
              <w:pStyle w:val="ARTableText"/>
              <w:jc w:val="center"/>
            </w:pPr>
            <w:r w:rsidRPr="00291E5E">
              <w:t>●</w:t>
            </w:r>
          </w:p>
        </w:tc>
        <w:tc>
          <w:tcPr>
            <w:tcW w:w="992" w:type="dxa"/>
            <w:vAlign w:val="center"/>
          </w:tcPr>
          <w:p w14:paraId="63732A09" w14:textId="579168FC" w:rsidR="00291E5E" w:rsidRPr="00291E5E" w:rsidRDefault="00291E5E" w:rsidP="00EB5AF9">
            <w:pPr>
              <w:pStyle w:val="ARTableText"/>
              <w:jc w:val="center"/>
            </w:pPr>
            <w:r w:rsidRPr="00291E5E">
              <w:t>●</w:t>
            </w:r>
          </w:p>
        </w:tc>
        <w:tc>
          <w:tcPr>
            <w:tcW w:w="992" w:type="dxa"/>
            <w:vAlign w:val="center"/>
          </w:tcPr>
          <w:p w14:paraId="30B57900" w14:textId="00757294" w:rsidR="00291E5E" w:rsidRPr="00291E5E" w:rsidRDefault="00291E5E" w:rsidP="00EB5AF9">
            <w:pPr>
              <w:pStyle w:val="ARTableText"/>
              <w:jc w:val="center"/>
            </w:pPr>
            <w:r w:rsidRPr="00291E5E">
              <w:t>●</w:t>
            </w:r>
          </w:p>
        </w:tc>
        <w:tc>
          <w:tcPr>
            <w:tcW w:w="1134" w:type="dxa"/>
            <w:vAlign w:val="center"/>
          </w:tcPr>
          <w:p w14:paraId="5571DBB4" w14:textId="77777777" w:rsidR="00291E5E" w:rsidRPr="00291E5E" w:rsidRDefault="00291E5E" w:rsidP="00EB5AF9">
            <w:pPr>
              <w:pStyle w:val="ARTableText"/>
              <w:jc w:val="center"/>
            </w:pPr>
            <w:r w:rsidRPr="00291E5E">
              <w:t>●</w:t>
            </w:r>
          </w:p>
        </w:tc>
        <w:tc>
          <w:tcPr>
            <w:tcW w:w="993" w:type="dxa"/>
            <w:vAlign w:val="center"/>
          </w:tcPr>
          <w:p w14:paraId="0C0662C2" w14:textId="77777777" w:rsidR="00291E5E" w:rsidRPr="00291E5E" w:rsidRDefault="00291E5E" w:rsidP="00EB5AF9">
            <w:pPr>
              <w:pStyle w:val="ARTableText"/>
              <w:jc w:val="center"/>
            </w:pPr>
          </w:p>
        </w:tc>
      </w:tr>
      <w:tr w:rsidR="00291E5E" w:rsidRPr="00291E5E" w14:paraId="754DB254" w14:textId="77777777" w:rsidTr="009B68BF">
        <w:tc>
          <w:tcPr>
            <w:tcW w:w="3678" w:type="dxa"/>
          </w:tcPr>
          <w:p w14:paraId="724F216E" w14:textId="653CA0B2" w:rsidR="00291E5E" w:rsidRPr="00291E5E" w:rsidRDefault="00291E5E" w:rsidP="00B12301">
            <w:pPr>
              <w:pStyle w:val="ARTableText"/>
            </w:pPr>
            <w:r w:rsidRPr="00291E5E">
              <w:t>s27 where s 27(a)</w:t>
            </w:r>
            <w:r w:rsidR="0050078B">
              <w:noBreakHyphen/>
            </w:r>
            <w:r w:rsidRPr="00291E5E">
              <w:t>(c) met, to inquire into a complaint and try to settle it by conciliation</w:t>
            </w:r>
          </w:p>
        </w:tc>
        <w:tc>
          <w:tcPr>
            <w:tcW w:w="1134" w:type="dxa"/>
            <w:vAlign w:val="center"/>
          </w:tcPr>
          <w:p w14:paraId="6950EDD7" w14:textId="34B941E0" w:rsidR="00291E5E" w:rsidRPr="00291E5E" w:rsidRDefault="00291E5E" w:rsidP="00EB5AF9">
            <w:pPr>
              <w:pStyle w:val="ARTableText"/>
              <w:jc w:val="center"/>
            </w:pPr>
            <w:r w:rsidRPr="00291E5E">
              <w:t>●</w:t>
            </w:r>
          </w:p>
        </w:tc>
        <w:tc>
          <w:tcPr>
            <w:tcW w:w="992" w:type="dxa"/>
            <w:vAlign w:val="center"/>
          </w:tcPr>
          <w:p w14:paraId="5D9E737B" w14:textId="42210B5D" w:rsidR="00291E5E" w:rsidRPr="00291E5E" w:rsidRDefault="00291E5E" w:rsidP="00EB5AF9">
            <w:pPr>
              <w:pStyle w:val="ARTableText"/>
              <w:jc w:val="center"/>
            </w:pPr>
            <w:r w:rsidRPr="00291E5E">
              <w:t>●</w:t>
            </w:r>
          </w:p>
        </w:tc>
        <w:tc>
          <w:tcPr>
            <w:tcW w:w="992" w:type="dxa"/>
            <w:vAlign w:val="center"/>
          </w:tcPr>
          <w:p w14:paraId="61F8C6E9" w14:textId="08BDBDBA" w:rsidR="00291E5E" w:rsidRPr="00291E5E" w:rsidRDefault="00291E5E" w:rsidP="00EB5AF9">
            <w:pPr>
              <w:pStyle w:val="ARTableText"/>
              <w:jc w:val="center"/>
            </w:pPr>
            <w:r w:rsidRPr="00291E5E">
              <w:t>●</w:t>
            </w:r>
          </w:p>
        </w:tc>
        <w:tc>
          <w:tcPr>
            <w:tcW w:w="1134" w:type="dxa"/>
            <w:vAlign w:val="center"/>
          </w:tcPr>
          <w:p w14:paraId="25F35243" w14:textId="72243693" w:rsidR="00291E5E" w:rsidRPr="00291E5E" w:rsidRDefault="00291E5E" w:rsidP="00EB5AF9">
            <w:pPr>
              <w:pStyle w:val="ARTableText"/>
              <w:jc w:val="center"/>
            </w:pPr>
            <w:r w:rsidRPr="00291E5E">
              <w:t>●</w:t>
            </w:r>
          </w:p>
        </w:tc>
        <w:tc>
          <w:tcPr>
            <w:tcW w:w="993" w:type="dxa"/>
            <w:vAlign w:val="center"/>
          </w:tcPr>
          <w:p w14:paraId="02A7AABC" w14:textId="77777777" w:rsidR="00291E5E" w:rsidRPr="00291E5E" w:rsidRDefault="00291E5E" w:rsidP="00EB5AF9">
            <w:pPr>
              <w:pStyle w:val="ARTableText"/>
              <w:jc w:val="center"/>
            </w:pPr>
          </w:p>
        </w:tc>
      </w:tr>
      <w:tr w:rsidR="00291E5E" w:rsidRPr="00291E5E" w14:paraId="1D55BA54" w14:textId="77777777" w:rsidTr="009B68BF">
        <w:tc>
          <w:tcPr>
            <w:tcW w:w="3678" w:type="dxa"/>
          </w:tcPr>
          <w:p w14:paraId="40BF3E06" w14:textId="77777777" w:rsidR="00291E5E" w:rsidRPr="00291E5E" w:rsidRDefault="00291E5E" w:rsidP="00B12301">
            <w:pPr>
              <w:pStyle w:val="ARTableText"/>
            </w:pPr>
            <w:r w:rsidRPr="00291E5E">
              <w:t>s28(2) whether to give notice to require persons to attend conciliation conference</w:t>
            </w:r>
          </w:p>
        </w:tc>
        <w:tc>
          <w:tcPr>
            <w:tcW w:w="1134" w:type="dxa"/>
            <w:vAlign w:val="center"/>
          </w:tcPr>
          <w:p w14:paraId="43D6F454" w14:textId="724E9378" w:rsidR="00291E5E" w:rsidRPr="00291E5E" w:rsidRDefault="00291E5E" w:rsidP="00EB5AF9">
            <w:pPr>
              <w:pStyle w:val="ARTableText"/>
              <w:jc w:val="center"/>
            </w:pPr>
            <w:r w:rsidRPr="00291E5E">
              <w:t>●</w:t>
            </w:r>
          </w:p>
        </w:tc>
        <w:tc>
          <w:tcPr>
            <w:tcW w:w="992" w:type="dxa"/>
            <w:vAlign w:val="center"/>
          </w:tcPr>
          <w:p w14:paraId="3B82DD00" w14:textId="77777777" w:rsidR="00291E5E" w:rsidRPr="00291E5E" w:rsidRDefault="00291E5E" w:rsidP="00EB5AF9">
            <w:pPr>
              <w:pStyle w:val="ARTableText"/>
              <w:jc w:val="center"/>
            </w:pPr>
            <w:r w:rsidRPr="00291E5E">
              <w:t>●</w:t>
            </w:r>
          </w:p>
        </w:tc>
        <w:tc>
          <w:tcPr>
            <w:tcW w:w="992" w:type="dxa"/>
            <w:vAlign w:val="center"/>
          </w:tcPr>
          <w:p w14:paraId="0E4762B1" w14:textId="77777777" w:rsidR="00291E5E" w:rsidRPr="00291E5E" w:rsidRDefault="00291E5E" w:rsidP="00EB5AF9">
            <w:pPr>
              <w:pStyle w:val="ARTableText"/>
              <w:jc w:val="center"/>
            </w:pPr>
            <w:r w:rsidRPr="00291E5E">
              <w:t>●</w:t>
            </w:r>
          </w:p>
        </w:tc>
        <w:tc>
          <w:tcPr>
            <w:tcW w:w="1134" w:type="dxa"/>
            <w:vAlign w:val="center"/>
          </w:tcPr>
          <w:p w14:paraId="68213008" w14:textId="4B7C5C5A" w:rsidR="00291E5E" w:rsidRPr="00291E5E" w:rsidRDefault="00291E5E" w:rsidP="00EB5AF9">
            <w:pPr>
              <w:pStyle w:val="ARTableText"/>
              <w:jc w:val="center"/>
            </w:pPr>
            <w:r w:rsidRPr="00291E5E">
              <w:t>●</w:t>
            </w:r>
          </w:p>
        </w:tc>
        <w:tc>
          <w:tcPr>
            <w:tcW w:w="993" w:type="dxa"/>
            <w:vAlign w:val="center"/>
          </w:tcPr>
          <w:p w14:paraId="5C3CA368" w14:textId="77777777" w:rsidR="00291E5E" w:rsidRPr="00291E5E" w:rsidRDefault="00291E5E" w:rsidP="00EB5AF9">
            <w:pPr>
              <w:pStyle w:val="ARTableText"/>
              <w:jc w:val="center"/>
            </w:pPr>
          </w:p>
        </w:tc>
      </w:tr>
      <w:tr w:rsidR="00291E5E" w:rsidRPr="00291E5E" w14:paraId="670115E8" w14:textId="77777777" w:rsidTr="009B68BF">
        <w:tc>
          <w:tcPr>
            <w:tcW w:w="3678" w:type="dxa"/>
          </w:tcPr>
          <w:p w14:paraId="7CD9F16B" w14:textId="77777777" w:rsidR="00291E5E" w:rsidRPr="00291E5E" w:rsidRDefault="00291E5E" w:rsidP="00B12301">
            <w:pPr>
              <w:pStyle w:val="ARTableText"/>
            </w:pPr>
            <w:r w:rsidRPr="00291E5E">
              <w:t>s28(4) whether to treat complaint as withdrawn (failure to attend conference)</w:t>
            </w:r>
          </w:p>
        </w:tc>
        <w:tc>
          <w:tcPr>
            <w:tcW w:w="1134" w:type="dxa"/>
            <w:vAlign w:val="center"/>
          </w:tcPr>
          <w:p w14:paraId="63E8918D" w14:textId="7CEFC8FA" w:rsidR="00291E5E" w:rsidRPr="00291E5E" w:rsidRDefault="00291E5E" w:rsidP="00EB5AF9">
            <w:pPr>
              <w:pStyle w:val="ARTableText"/>
              <w:jc w:val="center"/>
            </w:pPr>
            <w:r w:rsidRPr="00291E5E">
              <w:t>●</w:t>
            </w:r>
          </w:p>
        </w:tc>
        <w:tc>
          <w:tcPr>
            <w:tcW w:w="992" w:type="dxa"/>
            <w:vAlign w:val="center"/>
          </w:tcPr>
          <w:p w14:paraId="5783A623" w14:textId="77777777" w:rsidR="00291E5E" w:rsidRPr="00291E5E" w:rsidRDefault="00291E5E" w:rsidP="00EB5AF9">
            <w:pPr>
              <w:pStyle w:val="ARTableText"/>
              <w:jc w:val="center"/>
            </w:pPr>
            <w:r w:rsidRPr="00291E5E">
              <w:t>●</w:t>
            </w:r>
          </w:p>
        </w:tc>
        <w:tc>
          <w:tcPr>
            <w:tcW w:w="992" w:type="dxa"/>
            <w:vAlign w:val="center"/>
          </w:tcPr>
          <w:p w14:paraId="61D42B65" w14:textId="77777777" w:rsidR="00291E5E" w:rsidRPr="00291E5E" w:rsidRDefault="00291E5E" w:rsidP="00EB5AF9">
            <w:pPr>
              <w:pStyle w:val="ARTableText"/>
              <w:jc w:val="center"/>
            </w:pPr>
            <w:r w:rsidRPr="00291E5E">
              <w:t>●</w:t>
            </w:r>
          </w:p>
        </w:tc>
        <w:tc>
          <w:tcPr>
            <w:tcW w:w="1134" w:type="dxa"/>
            <w:vAlign w:val="center"/>
          </w:tcPr>
          <w:p w14:paraId="39F6129A" w14:textId="15FE0852" w:rsidR="00291E5E" w:rsidRPr="00291E5E" w:rsidRDefault="00291E5E" w:rsidP="00EB5AF9">
            <w:pPr>
              <w:pStyle w:val="ARTableText"/>
              <w:jc w:val="center"/>
            </w:pPr>
            <w:r w:rsidRPr="00291E5E">
              <w:t>●</w:t>
            </w:r>
          </w:p>
        </w:tc>
        <w:tc>
          <w:tcPr>
            <w:tcW w:w="993" w:type="dxa"/>
            <w:vAlign w:val="center"/>
          </w:tcPr>
          <w:p w14:paraId="303471DE" w14:textId="77777777" w:rsidR="00291E5E" w:rsidRPr="00291E5E" w:rsidRDefault="00291E5E" w:rsidP="00EB5AF9">
            <w:pPr>
              <w:pStyle w:val="ARTableText"/>
              <w:jc w:val="center"/>
            </w:pPr>
          </w:p>
        </w:tc>
      </w:tr>
      <w:tr w:rsidR="00291E5E" w:rsidRPr="00291E5E" w14:paraId="312DAA68" w14:textId="77777777" w:rsidTr="009B68BF">
        <w:tc>
          <w:tcPr>
            <w:tcW w:w="3678" w:type="dxa"/>
          </w:tcPr>
          <w:p w14:paraId="2FB25154" w14:textId="77777777" w:rsidR="00291E5E" w:rsidRPr="00291E5E" w:rsidRDefault="00291E5E" w:rsidP="00B12301">
            <w:pPr>
              <w:pStyle w:val="ARTableText"/>
            </w:pPr>
            <w:r w:rsidRPr="00291E5E">
              <w:t>s28(6) whether to recommend that conference proceed with interpreter</w:t>
            </w:r>
          </w:p>
        </w:tc>
        <w:tc>
          <w:tcPr>
            <w:tcW w:w="1134" w:type="dxa"/>
            <w:vAlign w:val="center"/>
          </w:tcPr>
          <w:p w14:paraId="415982A5" w14:textId="77777777" w:rsidR="00291E5E" w:rsidRPr="00291E5E" w:rsidRDefault="00291E5E" w:rsidP="00EB5AF9">
            <w:pPr>
              <w:pStyle w:val="ARTableText"/>
              <w:jc w:val="center"/>
            </w:pPr>
            <w:r w:rsidRPr="00291E5E">
              <w:t>●</w:t>
            </w:r>
          </w:p>
        </w:tc>
        <w:tc>
          <w:tcPr>
            <w:tcW w:w="992" w:type="dxa"/>
            <w:vAlign w:val="center"/>
          </w:tcPr>
          <w:p w14:paraId="6E4BBEAB" w14:textId="77777777" w:rsidR="00291E5E" w:rsidRPr="00291E5E" w:rsidRDefault="00291E5E" w:rsidP="00EB5AF9">
            <w:pPr>
              <w:pStyle w:val="ARTableText"/>
              <w:jc w:val="center"/>
            </w:pPr>
            <w:r w:rsidRPr="00291E5E">
              <w:t>●</w:t>
            </w:r>
          </w:p>
        </w:tc>
        <w:tc>
          <w:tcPr>
            <w:tcW w:w="992" w:type="dxa"/>
            <w:vAlign w:val="center"/>
          </w:tcPr>
          <w:p w14:paraId="7B51C7E1" w14:textId="77777777" w:rsidR="00291E5E" w:rsidRPr="00291E5E" w:rsidRDefault="00291E5E" w:rsidP="00EB5AF9">
            <w:pPr>
              <w:pStyle w:val="ARTableText"/>
              <w:jc w:val="center"/>
            </w:pPr>
            <w:r w:rsidRPr="00291E5E">
              <w:t>●</w:t>
            </w:r>
          </w:p>
        </w:tc>
        <w:tc>
          <w:tcPr>
            <w:tcW w:w="1134" w:type="dxa"/>
            <w:vAlign w:val="center"/>
          </w:tcPr>
          <w:p w14:paraId="3D6F404D" w14:textId="4D920209" w:rsidR="00291E5E" w:rsidRPr="00291E5E" w:rsidRDefault="00291E5E" w:rsidP="00EB5AF9">
            <w:pPr>
              <w:pStyle w:val="ARTableText"/>
              <w:jc w:val="center"/>
            </w:pPr>
            <w:r w:rsidRPr="00291E5E">
              <w:t>●</w:t>
            </w:r>
          </w:p>
        </w:tc>
        <w:tc>
          <w:tcPr>
            <w:tcW w:w="993" w:type="dxa"/>
            <w:vAlign w:val="center"/>
          </w:tcPr>
          <w:p w14:paraId="7002A981" w14:textId="77777777" w:rsidR="00291E5E" w:rsidRPr="00291E5E" w:rsidRDefault="00291E5E" w:rsidP="00EB5AF9">
            <w:pPr>
              <w:pStyle w:val="ARTableText"/>
              <w:jc w:val="center"/>
            </w:pPr>
          </w:p>
        </w:tc>
      </w:tr>
      <w:tr w:rsidR="00291E5E" w:rsidRPr="00291E5E" w14:paraId="61FBDF4A" w14:textId="77777777" w:rsidTr="009B68BF">
        <w:tc>
          <w:tcPr>
            <w:tcW w:w="3678" w:type="dxa"/>
          </w:tcPr>
          <w:p w14:paraId="3FEF2B07" w14:textId="77777777" w:rsidR="00291E5E" w:rsidRPr="00291E5E" w:rsidRDefault="00291E5E" w:rsidP="00B12301">
            <w:pPr>
              <w:pStyle w:val="ARTableText"/>
            </w:pPr>
            <w:r w:rsidRPr="00291E5E">
              <w:t xml:space="preserve">s28(7) to formulate and make available guidelines as to when persons required to attend conferences </w:t>
            </w:r>
          </w:p>
        </w:tc>
        <w:tc>
          <w:tcPr>
            <w:tcW w:w="1134" w:type="dxa"/>
            <w:vAlign w:val="center"/>
          </w:tcPr>
          <w:p w14:paraId="58B17F56" w14:textId="77777777" w:rsidR="00291E5E" w:rsidRPr="00291E5E" w:rsidRDefault="00291E5E" w:rsidP="00EB5AF9">
            <w:pPr>
              <w:pStyle w:val="ARTableText"/>
              <w:jc w:val="center"/>
            </w:pPr>
            <w:r w:rsidRPr="00291E5E">
              <w:t>●</w:t>
            </w:r>
          </w:p>
        </w:tc>
        <w:tc>
          <w:tcPr>
            <w:tcW w:w="992" w:type="dxa"/>
            <w:vAlign w:val="center"/>
          </w:tcPr>
          <w:p w14:paraId="2C6ED9DD" w14:textId="77777777" w:rsidR="00291E5E" w:rsidRPr="00291E5E" w:rsidRDefault="00291E5E" w:rsidP="00EB5AF9">
            <w:pPr>
              <w:pStyle w:val="ARTableText"/>
              <w:jc w:val="center"/>
            </w:pPr>
          </w:p>
        </w:tc>
        <w:tc>
          <w:tcPr>
            <w:tcW w:w="992" w:type="dxa"/>
            <w:vAlign w:val="center"/>
          </w:tcPr>
          <w:p w14:paraId="33A8C209" w14:textId="77777777" w:rsidR="00291E5E" w:rsidRPr="00291E5E" w:rsidRDefault="00291E5E" w:rsidP="00EB5AF9">
            <w:pPr>
              <w:pStyle w:val="ARTableText"/>
              <w:jc w:val="center"/>
            </w:pPr>
          </w:p>
        </w:tc>
        <w:tc>
          <w:tcPr>
            <w:tcW w:w="1134" w:type="dxa"/>
            <w:vAlign w:val="center"/>
          </w:tcPr>
          <w:p w14:paraId="6C28A96F" w14:textId="77777777" w:rsidR="00291E5E" w:rsidRPr="00291E5E" w:rsidRDefault="00291E5E" w:rsidP="00EB5AF9">
            <w:pPr>
              <w:pStyle w:val="ARTableText"/>
              <w:jc w:val="center"/>
            </w:pPr>
          </w:p>
        </w:tc>
        <w:tc>
          <w:tcPr>
            <w:tcW w:w="993" w:type="dxa"/>
            <w:vAlign w:val="center"/>
          </w:tcPr>
          <w:p w14:paraId="6EF9032E" w14:textId="77777777" w:rsidR="00291E5E" w:rsidRPr="00291E5E" w:rsidRDefault="00291E5E" w:rsidP="00EB5AF9">
            <w:pPr>
              <w:pStyle w:val="ARTableText"/>
              <w:jc w:val="center"/>
            </w:pPr>
          </w:p>
        </w:tc>
      </w:tr>
      <w:tr w:rsidR="00291E5E" w:rsidRPr="00291E5E" w14:paraId="0F9D62AC" w14:textId="77777777" w:rsidTr="009B68BF">
        <w:tc>
          <w:tcPr>
            <w:tcW w:w="3678" w:type="dxa"/>
          </w:tcPr>
          <w:p w14:paraId="16B20329" w14:textId="77777777" w:rsidR="00291E5E" w:rsidRPr="00291E5E" w:rsidRDefault="00291E5E" w:rsidP="00B12301">
            <w:pPr>
              <w:pStyle w:val="ARTableText"/>
            </w:pPr>
            <w:r w:rsidRPr="00291E5E">
              <w:t>s29 to determine manner in which conciliation conference to be conducted</w:t>
            </w:r>
          </w:p>
        </w:tc>
        <w:tc>
          <w:tcPr>
            <w:tcW w:w="1134" w:type="dxa"/>
            <w:vAlign w:val="center"/>
          </w:tcPr>
          <w:p w14:paraId="02F30FFD" w14:textId="756501B6" w:rsidR="00291E5E" w:rsidRPr="00291E5E" w:rsidRDefault="00291E5E" w:rsidP="00EB5AF9">
            <w:pPr>
              <w:pStyle w:val="ARTableText"/>
              <w:jc w:val="center"/>
            </w:pPr>
            <w:r w:rsidRPr="00291E5E">
              <w:t>●</w:t>
            </w:r>
          </w:p>
        </w:tc>
        <w:tc>
          <w:tcPr>
            <w:tcW w:w="992" w:type="dxa"/>
            <w:vAlign w:val="center"/>
          </w:tcPr>
          <w:p w14:paraId="721E4A00" w14:textId="77777777" w:rsidR="00291E5E" w:rsidRPr="00291E5E" w:rsidRDefault="00291E5E" w:rsidP="00EB5AF9">
            <w:pPr>
              <w:pStyle w:val="ARTableText"/>
              <w:jc w:val="center"/>
            </w:pPr>
            <w:r w:rsidRPr="00291E5E">
              <w:t>●</w:t>
            </w:r>
          </w:p>
        </w:tc>
        <w:tc>
          <w:tcPr>
            <w:tcW w:w="992" w:type="dxa"/>
            <w:vAlign w:val="center"/>
          </w:tcPr>
          <w:p w14:paraId="084EE131" w14:textId="77777777" w:rsidR="00291E5E" w:rsidRPr="00291E5E" w:rsidRDefault="00291E5E" w:rsidP="00EB5AF9">
            <w:pPr>
              <w:pStyle w:val="ARTableText"/>
              <w:jc w:val="center"/>
            </w:pPr>
            <w:r w:rsidRPr="00291E5E">
              <w:t>●</w:t>
            </w:r>
          </w:p>
        </w:tc>
        <w:tc>
          <w:tcPr>
            <w:tcW w:w="1134" w:type="dxa"/>
            <w:vAlign w:val="center"/>
          </w:tcPr>
          <w:p w14:paraId="5521CA4C" w14:textId="77777777" w:rsidR="00291E5E" w:rsidRPr="00291E5E" w:rsidRDefault="00291E5E" w:rsidP="00EB5AF9">
            <w:pPr>
              <w:pStyle w:val="ARTableText"/>
              <w:jc w:val="center"/>
            </w:pPr>
          </w:p>
        </w:tc>
        <w:tc>
          <w:tcPr>
            <w:tcW w:w="993" w:type="dxa"/>
            <w:vAlign w:val="center"/>
          </w:tcPr>
          <w:p w14:paraId="0C5AB9FA" w14:textId="77777777" w:rsidR="00291E5E" w:rsidRPr="00291E5E" w:rsidRDefault="00291E5E" w:rsidP="00EB5AF9">
            <w:pPr>
              <w:pStyle w:val="ARTableText"/>
              <w:jc w:val="center"/>
            </w:pPr>
          </w:p>
        </w:tc>
      </w:tr>
      <w:tr w:rsidR="00291E5E" w:rsidRPr="00291E5E" w14:paraId="0CB4F919" w14:textId="77777777" w:rsidTr="009B68BF">
        <w:tc>
          <w:tcPr>
            <w:tcW w:w="3678" w:type="dxa"/>
            <w:tcBorders>
              <w:top w:val="single" w:sz="6" w:space="0" w:color="auto"/>
              <w:left w:val="single" w:sz="6" w:space="0" w:color="auto"/>
              <w:bottom w:val="single" w:sz="6" w:space="0" w:color="auto"/>
              <w:right w:val="single" w:sz="6" w:space="0" w:color="auto"/>
            </w:tcBorders>
          </w:tcPr>
          <w:p w14:paraId="23DF1277" w14:textId="77777777" w:rsidR="00291E5E" w:rsidRPr="00291E5E" w:rsidRDefault="00291E5E" w:rsidP="00B12301">
            <w:pPr>
              <w:pStyle w:val="ARTableText"/>
            </w:pPr>
            <w:r w:rsidRPr="00291E5E">
              <w:t>s31(1) to treat complaint as withdrawn (upon settlement)</w:t>
            </w:r>
          </w:p>
        </w:tc>
        <w:tc>
          <w:tcPr>
            <w:tcW w:w="1134" w:type="dxa"/>
            <w:tcBorders>
              <w:top w:val="single" w:sz="6" w:space="0" w:color="auto"/>
              <w:left w:val="single" w:sz="6" w:space="0" w:color="auto"/>
              <w:bottom w:val="single" w:sz="6" w:space="0" w:color="auto"/>
              <w:right w:val="single" w:sz="6" w:space="0" w:color="auto"/>
            </w:tcBorders>
            <w:vAlign w:val="center"/>
          </w:tcPr>
          <w:p w14:paraId="0AEC8B5A" w14:textId="3EFF9948" w:rsidR="00291E5E" w:rsidRPr="00291E5E" w:rsidRDefault="00291E5E" w:rsidP="00EB5AF9">
            <w:pPr>
              <w:pStyle w:val="ARTableText"/>
              <w:jc w:val="center"/>
            </w:pPr>
            <w:r w:rsidRPr="00291E5E">
              <w:t>●</w:t>
            </w:r>
          </w:p>
        </w:tc>
        <w:tc>
          <w:tcPr>
            <w:tcW w:w="992" w:type="dxa"/>
            <w:tcBorders>
              <w:top w:val="single" w:sz="6" w:space="0" w:color="auto"/>
              <w:left w:val="single" w:sz="6" w:space="0" w:color="auto"/>
              <w:bottom w:val="single" w:sz="6" w:space="0" w:color="auto"/>
              <w:right w:val="single" w:sz="6" w:space="0" w:color="auto"/>
            </w:tcBorders>
            <w:vAlign w:val="center"/>
          </w:tcPr>
          <w:p w14:paraId="44C0DD9E" w14:textId="77777777" w:rsidR="00291E5E" w:rsidRPr="00291E5E" w:rsidRDefault="00291E5E" w:rsidP="00EB5AF9">
            <w:pPr>
              <w:pStyle w:val="ARTableText"/>
              <w:jc w:val="center"/>
            </w:pPr>
            <w:r w:rsidRPr="00291E5E">
              <w:t>●</w:t>
            </w:r>
          </w:p>
        </w:tc>
        <w:tc>
          <w:tcPr>
            <w:tcW w:w="992" w:type="dxa"/>
            <w:tcBorders>
              <w:top w:val="single" w:sz="6" w:space="0" w:color="auto"/>
              <w:left w:val="single" w:sz="6" w:space="0" w:color="auto"/>
              <w:bottom w:val="single" w:sz="6" w:space="0" w:color="auto"/>
              <w:right w:val="single" w:sz="6" w:space="0" w:color="auto"/>
            </w:tcBorders>
            <w:vAlign w:val="center"/>
          </w:tcPr>
          <w:p w14:paraId="0971EE2F" w14:textId="6EA823DD" w:rsidR="00291E5E" w:rsidRPr="00291E5E" w:rsidRDefault="00291E5E" w:rsidP="00EB5AF9">
            <w:pPr>
              <w:pStyle w:val="ARTableText"/>
              <w:jc w:val="center"/>
            </w:pPr>
            <w:r w:rsidRPr="00291E5E">
              <w:t>●</w:t>
            </w:r>
          </w:p>
        </w:tc>
        <w:tc>
          <w:tcPr>
            <w:tcW w:w="1134" w:type="dxa"/>
            <w:tcBorders>
              <w:top w:val="single" w:sz="6" w:space="0" w:color="auto"/>
              <w:left w:val="single" w:sz="6" w:space="0" w:color="auto"/>
              <w:bottom w:val="single" w:sz="6" w:space="0" w:color="auto"/>
              <w:right w:val="single" w:sz="6" w:space="0" w:color="auto"/>
            </w:tcBorders>
            <w:vAlign w:val="center"/>
          </w:tcPr>
          <w:p w14:paraId="6FB13DA2" w14:textId="4374C4C7" w:rsidR="00291E5E" w:rsidRPr="00291E5E" w:rsidRDefault="00291E5E" w:rsidP="00EB5AF9">
            <w:pPr>
              <w:pStyle w:val="ARTableText"/>
              <w:jc w:val="center"/>
            </w:pPr>
            <w:r w:rsidRPr="00291E5E">
              <w:t>●</w:t>
            </w:r>
          </w:p>
        </w:tc>
        <w:tc>
          <w:tcPr>
            <w:tcW w:w="993" w:type="dxa"/>
            <w:tcBorders>
              <w:top w:val="single" w:sz="6" w:space="0" w:color="auto"/>
              <w:left w:val="single" w:sz="6" w:space="0" w:color="auto"/>
              <w:bottom w:val="single" w:sz="6" w:space="0" w:color="auto"/>
              <w:right w:val="single" w:sz="6" w:space="0" w:color="auto"/>
            </w:tcBorders>
            <w:vAlign w:val="center"/>
          </w:tcPr>
          <w:p w14:paraId="7D965E84" w14:textId="77777777" w:rsidR="00291E5E" w:rsidRPr="00291E5E" w:rsidRDefault="00291E5E" w:rsidP="00EB5AF9">
            <w:pPr>
              <w:pStyle w:val="ARTableText"/>
              <w:jc w:val="center"/>
            </w:pPr>
          </w:p>
        </w:tc>
      </w:tr>
      <w:tr w:rsidR="00291E5E" w:rsidRPr="00291E5E" w14:paraId="57C49D5A" w14:textId="77777777" w:rsidTr="009B68BF">
        <w:tc>
          <w:tcPr>
            <w:tcW w:w="3678" w:type="dxa"/>
            <w:tcBorders>
              <w:top w:val="single" w:sz="6" w:space="0" w:color="auto"/>
              <w:left w:val="single" w:sz="6" w:space="0" w:color="auto"/>
              <w:bottom w:val="single" w:sz="6" w:space="0" w:color="auto"/>
              <w:right w:val="single" w:sz="6" w:space="0" w:color="auto"/>
            </w:tcBorders>
          </w:tcPr>
          <w:p w14:paraId="15C4F366" w14:textId="77777777" w:rsidR="00291E5E" w:rsidRPr="00291E5E" w:rsidRDefault="00291E5E" w:rsidP="00B12301">
            <w:pPr>
              <w:pStyle w:val="ARTableText"/>
            </w:pPr>
            <w:r w:rsidRPr="00291E5E">
              <w:t>s32(1) to determine whether conciliation has not been successful</w:t>
            </w:r>
          </w:p>
        </w:tc>
        <w:tc>
          <w:tcPr>
            <w:tcW w:w="1134" w:type="dxa"/>
            <w:tcBorders>
              <w:top w:val="single" w:sz="6" w:space="0" w:color="auto"/>
              <w:left w:val="single" w:sz="6" w:space="0" w:color="auto"/>
              <w:bottom w:val="single" w:sz="6" w:space="0" w:color="auto"/>
              <w:right w:val="single" w:sz="6" w:space="0" w:color="auto"/>
            </w:tcBorders>
            <w:vAlign w:val="center"/>
          </w:tcPr>
          <w:p w14:paraId="2FE3F96E" w14:textId="71ADEAEB" w:rsidR="00291E5E" w:rsidRPr="00291E5E" w:rsidRDefault="00291E5E" w:rsidP="00EB5AF9">
            <w:pPr>
              <w:pStyle w:val="ARTableText"/>
              <w:jc w:val="center"/>
            </w:pPr>
            <w:r w:rsidRPr="00291E5E">
              <w:t>●</w:t>
            </w:r>
          </w:p>
        </w:tc>
        <w:tc>
          <w:tcPr>
            <w:tcW w:w="992" w:type="dxa"/>
            <w:tcBorders>
              <w:top w:val="single" w:sz="6" w:space="0" w:color="auto"/>
              <w:left w:val="single" w:sz="6" w:space="0" w:color="auto"/>
              <w:bottom w:val="single" w:sz="6" w:space="0" w:color="auto"/>
              <w:right w:val="single" w:sz="6" w:space="0" w:color="auto"/>
            </w:tcBorders>
            <w:vAlign w:val="center"/>
          </w:tcPr>
          <w:p w14:paraId="0002A39D" w14:textId="77777777" w:rsidR="00291E5E" w:rsidRPr="00291E5E" w:rsidRDefault="00291E5E" w:rsidP="00EB5AF9">
            <w:pPr>
              <w:pStyle w:val="ARTableText"/>
              <w:jc w:val="center"/>
            </w:pPr>
            <w:r w:rsidRPr="00291E5E">
              <w:t>●</w:t>
            </w:r>
          </w:p>
        </w:tc>
        <w:tc>
          <w:tcPr>
            <w:tcW w:w="992" w:type="dxa"/>
            <w:tcBorders>
              <w:top w:val="single" w:sz="6" w:space="0" w:color="auto"/>
              <w:left w:val="single" w:sz="6" w:space="0" w:color="auto"/>
              <w:bottom w:val="single" w:sz="6" w:space="0" w:color="auto"/>
              <w:right w:val="single" w:sz="6" w:space="0" w:color="auto"/>
            </w:tcBorders>
            <w:vAlign w:val="center"/>
          </w:tcPr>
          <w:p w14:paraId="68B906FC" w14:textId="77777777" w:rsidR="00291E5E" w:rsidRPr="00291E5E" w:rsidRDefault="00291E5E" w:rsidP="00EB5AF9">
            <w:pPr>
              <w:pStyle w:val="ARTableText"/>
              <w:jc w:val="center"/>
            </w:pPr>
            <w:r w:rsidRPr="00291E5E">
              <w:t>●</w:t>
            </w:r>
          </w:p>
        </w:tc>
        <w:tc>
          <w:tcPr>
            <w:tcW w:w="1134" w:type="dxa"/>
            <w:tcBorders>
              <w:top w:val="single" w:sz="6" w:space="0" w:color="auto"/>
              <w:left w:val="single" w:sz="6" w:space="0" w:color="auto"/>
              <w:bottom w:val="single" w:sz="6" w:space="0" w:color="auto"/>
              <w:right w:val="single" w:sz="6" w:space="0" w:color="auto"/>
            </w:tcBorders>
            <w:vAlign w:val="center"/>
          </w:tcPr>
          <w:p w14:paraId="51E0431D" w14:textId="77777777" w:rsidR="00291E5E" w:rsidRPr="00291E5E" w:rsidRDefault="00291E5E" w:rsidP="00EB5AF9">
            <w:pPr>
              <w:pStyle w:val="ARTableText"/>
              <w:jc w:val="center"/>
            </w:pPr>
            <w:r w:rsidRPr="00291E5E">
              <w:t>●</w:t>
            </w:r>
          </w:p>
        </w:tc>
        <w:tc>
          <w:tcPr>
            <w:tcW w:w="993" w:type="dxa"/>
            <w:tcBorders>
              <w:top w:val="single" w:sz="6" w:space="0" w:color="auto"/>
              <w:left w:val="single" w:sz="6" w:space="0" w:color="auto"/>
              <w:bottom w:val="single" w:sz="6" w:space="0" w:color="auto"/>
              <w:right w:val="single" w:sz="6" w:space="0" w:color="auto"/>
            </w:tcBorders>
            <w:vAlign w:val="center"/>
          </w:tcPr>
          <w:p w14:paraId="237B99B6" w14:textId="77777777" w:rsidR="00291E5E" w:rsidRPr="00291E5E" w:rsidRDefault="00291E5E" w:rsidP="00EB5AF9">
            <w:pPr>
              <w:pStyle w:val="ARTableText"/>
              <w:jc w:val="center"/>
            </w:pPr>
          </w:p>
        </w:tc>
      </w:tr>
      <w:tr w:rsidR="00291E5E" w:rsidRPr="00291E5E" w14:paraId="6A6BFDDE" w14:textId="77777777" w:rsidTr="009B68BF">
        <w:tc>
          <w:tcPr>
            <w:tcW w:w="3678" w:type="dxa"/>
            <w:tcBorders>
              <w:top w:val="single" w:sz="6" w:space="0" w:color="auto"/>
              <w:left w:val="single" w:sz="6" w:space="0" w:color="auto"/>
              <w:bottom w:val="single" w:sz="6" w:space="0" w:color="auto"/>
              <w:right w:val="single" w:sz="6" w:space="0" w:color="auto"/>
            </w:tcBorders>
          </w:tcPr>
          <w:p w14:paraId="2CD5756A" w14:textId="77777777" w:rsidR="00291E5E" w:rsidRPr="00291E5E" w:rsidRDefault="00291E5E" w:rsidP="00B12301">
            <w:pPr>
              <w:pStyle w:val="ARTableText"/>
            </w:pPr>
            <w:r w:rsidRPr="00291E5E">
              <w:t xml:space="preserve">s32(1) to fix review meeting </w:t>
            </w:r>
          </w:p>
        </w:tc>
        <w:tc>
          <w:tcPr>
            <w:tcW w:w="1134" w:type="dxa"/>
            <w:tcBorders>
              <w:top w:val="single" w:sz="6" w:space="0" w:color="auto"/>
              <w:left w:val="single" w:sz="6" w:space="0" w:color="auto"/>
              <w:bottom w:val="single" w:sz="6" w:space="0" w:color="auto"/>
              <w:right w:val="single" w:sz="6" w:space="0" w:color="auto"/>
            </w:tcBorders>
            <w:vAlign w:val="center"/>
          </w:tcPr>
          <w:p w14:paraId="55F19C7C" w14:textId="381A3767" w:rsidR="00291E5E" w:rsidRPr="00291E5E" w:rsidRDefault="00291E5E" w:rsidP="00EB5AF9">
            <w:pPr>
              <w:pStyle w:val="ARTableText"/>
              <w:jc w:val="center"/>
            </w:pPr>
            <w:r w:rsidRPr="00291E5E">
              <w:t>●</w:t>
            </w:r>
          </w:p>
        </w:tc>
        <w:tc>
          <w:tcPr>
            <w:tcW w:w="992" w:type="dxa"/>
            <w:tcBorders>
              <w:top w:val="single" w:sz="6" w:space="0" w:color="auto"/>
              <w:left w:val="single" w:sz="6" w:space="0" w:color="auto"/>
              <w:bottom w:val="single" w:sz="6" w:space="0" w:color="auto"/>
              <w:right w:val="single" w:sz="6" w:space="0" w:color="auto"/>
            </w:tcBorders>
            <w:vAlign w:val="center"/>
          </w:tcPr>
          <w:p w14:paraId="5DD05384" w14:textId="77777777" w:rsidR="00291E5E" w:rsidRPr="00291E5E" w:rsidRDefault="00291E5E" w:rsidP="00EB5AF9">
            <w:pPr>
              <w:pStyle w:val="ARTableText"/>
              <w:jc w:val="center"/>
            </w:pPr>
            <w:r w:rsidRPr="00291E5E">
              <w:t>●</w:t>
            </w:r>
          </w:p>
        </w:tc>
        <w:tc>
          <w:tcPr>
            <w:tcW w:w="992" w:type="dxa"/>
            <w:tcBorders>
              <w:top w:val="single" w:sz="6" w:space="0" w:color="auto"/>
              <w:left w:val="single" w:sz="6" w:space="0" w:color="auto"/>
              <w:bottom w:val="single" w:sz="6" w:space="0" w:color="auto"/>
              <w:right w:val="single" w:sz="6" w:space="0" w:color="auto"/>
            </w:tcBorders>
            <w:vAlign w:val="center"/>
          </w:tcPr>
          <w:p w14:paraId="334D8831" w14:textId="77777777" w:rsidR="00291E5E" w:rsidRPr="00291E5E" w:rsidRDefault="00291E5E" w:rsidP="00EB5AF9">
            <w:pPr>
              <w:pStyle w:val="ARTableText"/>
              <w:jc w:val="center"/>
            </w:pPr>
            <w:r w:rsidRPr="00291E5E">
              <w:t>●</w:t>
            </w:r>
          </w:p>
        </w:tc>
        <w:tc>
          <w:tcPr>
            <w:tcW w:w="1134" w:type="dxa"/>
            <w:tcBorders>
              <w:top w:val="single" w:sz="6" w:space="0" w:color="auto"/>
              <w:left w:val="single" w:sz="6" w:space="0" w:color="auto"/>
              <w:bottom w:val="single" w:sz="6" w:space="0" w:color="auto"/>
              <w:right w:val="single" w:sz="6" w:space="0" w:color="auto"/>
            </w:tcBorders>
            <w:vAlign w:val="center"/>
          </w:tcPr>
          <w:p w14:paraId="6C5F8D63" w14:textId="77777777" w:rsidR="00291E5E" w:rsidRPr="00291E5E" w:rsidRDefault="00291E5E" w:rsidP="00EB5AF9">
            <w:pPr>
              <w:pStyle w:val="ARTableText"/>
              <w:jc w:val="center"/>
            </w:pPr>
            <w:r w:rsidRPr="00291E5E">
              <w:t>●</w:t>
            </w:r>
          </w:p>
        </w:tc>
        <w:tc>
          <w:tcPr>
            <w:tcW w:w="993" w:type="dxa"/>
            <w:tcBorders>
              <w:top w:val="single" w:sz="6" w:space="0" w:color="auto"/>
              <w:left w:val="single" w:sz="6" w:space="0" w:color="auto"/>
              <w:bottom w:val="single" w:sz="6" w:space="0" w:color="auto"/>
              <w:right w:val="single" w:sz="6" w:space="0" w:color="auto"/>
            </w:tcBorders>
            <w:vAlign w:val="center"/>
          </w:tcPr>
          <w:p w14:paraId="28C00AD3" w14:textId="77777777" w:rsidR="00291E5E" w:rsidRPr="00291E5E" w:rsidRDefault="00291E5E" w:rsidP="00EB5AF9">
            <w:pPr>
              <w:pStyle w:val="ARTableText"/>
              <w:jc w:val="center"/>
            </w:pPr>
          </w:p>
        </w:tc>
      </w:tr>
      <w:tr w:rsidR="00291E5E" w:rsidRPr="00291E5E" w14:paraId="7B22CBC1" w14:textId="77777777" w:rsidTr="009B68BF">
        <w:tc>
          <w:tcPr>
            <w:tcW w:w="3678" w:type="dxa"/>
          </w:tcPr>
          <w:p w14:paraId="4BF716D9" w14:textId="77777777" w:rsidR="00291E5E" w:rsidRPr="00291E5E" w:rsidRDefault="00291E5E" w:rsidP="00B12301">
            <w:pPr>
              <w:pStyle w:val="ARTableText"/>
            </w:pPr>
            <w:r w:rsidRPr="00291E5E">
              <w:t xml:space="preserve">s32(2) to invite submissions by date specified </w:t>
            </w:r>
          </w:p>
        </w:tc>
        <w:tc>
          <w:tcPr>
            <w:tcW w:w="1134" w:type="dxa"/>
            <w:vAlign w:val="center"/>
          </w:tcPr>
          <w:p w14:paraId="7BFD429B" w14:textId="14A60935" w:rsidR="00291E5E" w:rsidRPr="00291E5E" w:rsidRDefault="00291E5E" w:rsidP="00EB5AF9">
            <w:pPr>
              <w:pStyle w:val="ARTableText"/>
              <w:jc w:val="center"/>
            </w:pPr>
            <w:r w:rsidRPr="00291E5E">
              <w:t>●</w:t>
            </w:r>
          </w:p>
        </w:tc>
        <w:tc>
          <w:tcPr>
            <w:tcW w:w="992" w:type="dxa"/>
            <w:vAlign w:val="center"/>
          </w:tcPr>
          <w:p w14:paraId="6867438C" w14:textId="77777777" w:rsidR="00291E5E" w:rsidRPr="00291E5E" w:rsidRDefault="00291E5E" w:rsidP="00EB5AF9">
            <w:pPr>
              <w:pStyle w:val="ARTableText"/>
              <w:jc w:val="center"/>
            </w:pPr>
            <w:r w:rsidRPr="00291E5E">
              <w:t>●</w:t>
            </w:r>
          </w:p>
        </w:tc>
        <w:tc>
          <w:tcPr>
            <w:tcW w:w="992" w:type="dxa"/>
            <w:vAlign w:val="center"/>
          </w:tcPr>
          <w:p w14:paraId="2F90D6E6" w14:textId="77777777" w:rsidR="00291E5E" w:rsidRPr="00291E5E" w:rsidRDefault="00291E5E" w:rsidP="00EB5AF9">
            <w:pPr>
              <w:pStyle w:val="ARTableText"/>
              <w:jc w:val="center"/>
            </w:pPr>
            <w:r w:rsidRPr="00291E5E">
              <w:t>●</w:t>
            </w:r>
          </w:p>
        </w:tc>
        <w:tc>
          <w:tcPr>
            <w:tcW w:w="1134" w:type="dxa"/>
            <w:vAlign w:val="center"/>
          </w:tcPr>
          <w:p w14:paraId="32674A5E" w14:textId="60CC31F9" w:rsidR="00291E5E" w:rsidRPr="00291E5E" w:rsidRDefault="00291E5E" w:rsidP="00EB5AF9">
            <w:pPr>
              <w:pStyle w:val="ARTableText"/>
              <w:jc w:val="center"/>
            </w:pPr>
            <w:r w:rsidRPr="00291E5E">
              <w:t>●</w:t>
            </w:r>
          </w:p>
        </w:tc>
        <w:tc>
          <w:tcPr>
            <w:tcW w:w="993" w:type="dxa"/>
            <w:vAlign w:val="center"/>
          </w:tcPr>
          <w:p w14:paraId="3F9CBD9B" w14:textId="77777777" w:rsidR="00291E5E" w:rsidRPr="00291E5E" w:rsidRDefault="00291E5E" w:rsidP="00EB5AF9">
            <w:pPr>
              <w:pStyle w:val="ARTableText"/>
              <w:jc w:val="center"/>
            </w:pPr>
          </w:p>
        </w:tc>
      </w:tr>
    </w:tbl>
    <w:p w14:paraId="00EFB343" w14:textId="77777777" w:rsidR="00291E5E" w:rsidRPr="00291E5E" w:rsidRDefault="00291E5E" w:rsidP="00B12301">
      <w:pPr>
        <w:pStyle w:val="ARTableText"/>
      </w:pPr>
    </w:p>
    <w:p w14:paraId="06BCC678" w14:textId="21FBD8F0" w:rsidR="00291E5E" w:rsidRPr="00EB5AF9" w:rsidRDefault="00291E5E" w:rsidP="00B12301">
      <w:pPr>
        <w:rPr>
          <w:b/>
          <w:bCs/>
        </w:rPr>
      </w:pPr>
      <w:r w:rsidRPr="00EB5AF9">
        <w:rPr>
          <w:b/>
          <w:bCs/>
        </w:rPr>
        <w:t>John Simpso</w:t>
      </w:r>
      <w:r w:rsidR="00EB5AF9">
        <w:rPr>
          <w:b/>
          <w:bCs/>
        </w:rPr>
        <w:t>n</w:t>
      </w:r>
      <w:r w:rsidRPr="00EB5AF9">
        <w:rPr>
          <w:b/>
          <w:bCs/>
        </w:rPr>
        <w:t xml:space="preserve"> </w:t>
      </w:r>
    </w:p>
    <w:p w14:paraId="04C00DA1" w14:textId="6663AA85" w:rsidR="00291E5E" w:rsidRPr="00291E5E" w:rsidRDefault="00291E5E" w:rsidP="00B12301">
      <w:pPr>
        <w:rPr>
          <w:highlight w:val="yellow"/>
        </w:rPr>
      </w:pPr>
      <w:r w:rsidRPr="00291E5E">
        <w:t>Tribunal Chairperson</w:t>
      </w:r>
      <w:r w:rsidR="00EB5AF9">
        <w:br/>
      </w:r>
      <w:r w:rsidRPr="00291E5E">
        <w:t xml:space="preserve">19 February 2020 </w:t>
      </w:r>
    </w:p>
    <w:p w14:paraId="56D78240" w14:textId="36BC447E" w:rsidR="00291E5E" w:rsidRPr="00291E5E" w:rsidRDefault="00291E5E" w:rsidP="00D579F2">
      <w:pPr>
        <w:pStyle w:val="ARH2-Bodycopyheadinglevel1"/>
      </w:pPr>
      <w:r w:rsidRPr="00291E5E">
        <w:lastRenderedPageBreak/>
        <w:t xml:space="preserve">Appendix 7.0 </w:t>
      </w:r>
      <w:r w:rsidRPr="00291E5E">
        <w:tab/>
        <w:t>External scrutiny</w:t>
      </w:r>
    </w:p>
    <w:p w14:paraId="0E186F72" w14:textId="0F76229E" w:rsidR="00291E5E" w:rsidRPr="00291E5E" w:rsidRDefault="00291E5E" w:rsidP="00B12301">
      <w:r w:rsidRPr="00291E5E">
        <w:t>The following court matters involved the Tribunal between 1 July 2020 and 31</w:t>
      </w:r>
      <w:r w:rsidR="00E80A34">
        <w:t> </w:t>
      </w:r>
      <w:r w:rsidRPr="00291E5E">
        <w:t>December</w:t>
      </w:r>
      <w:r w:rsidR="00E80A34">
        <w:t> </w:t>
      </w:r>
      <w:r w:rsidRPr="00291E5E">
        <w:t xml:space="preserve">2020. </w:t>
      </w:r>
    </w:p>
    <w:p w14:paraId="4E8D7795" w14:textId="247ECDAD" w:rsidR="00291E5E" w:rsidRPr="00291E5E" w:rsidRDefault="00291E5E" w:rsidP="00EB5AF9">
      <w:pPr>
        <w:pStyle w:val="ARH3-Bodycopyheadinglevel1"/>
      </w:pPr>
      <w:r w:rsidRPr="00291E5E">
        <w:t>SECTION 46 FEDERAL COURT APPEALS FILED</w:t>
      </w:r>
    </w:p>
    <w:p w14:paraId="24317A0E" w14:textId="407C86B6" w:rsidR="00291E5E" w:rsidRPr="00E80A34" w:rsidRDefault="00291E5E" w:rsidP="00B12301">
      <w:pPr>
        <w:rPr>
          <w:i/>
          <w:iCs/>
        </w:rPr>
      </w:pPr>
      <w:r w:rsidRPr="00E80A34">
        <w:rPr>
          <w:i/>
          <w:iCs/>
        </w:rPr>
        <w:t xml:space="preserve">Damien Brown </w:t>
      </w:r>
      <w:r w:rsidR="0050078B">
        <w:rPr>
          <w:i/>
          <w:iCs/>
        </w:rPr>
        <w:noBreakHyphen/>
      </w:r>
      <w:r w:rsidRPr="00E80A34">
        <w:rPr>
          <w:i/>
          <w:iCs/>
        </w:rPr>
        <w:t>v</w:t>
      </w:r>
      <w:r w:rsidR="0050078B">
        <w:rPr>
          <w:i/>
          <w:iCs/>
        </w:rPr>
        <w:noBreakHyphen/>
      </w:r>
      <w:r w:rsidRPr="00E80A34">
        <w:rPr>
          <w:i/>
          <w:iCs/>
        </w:rPr>
        <w:t xml:space="preserve"> Commonwealth Superannuation Corporation QUD 248/2020</w:t>
      </w:r>
    </w:p>
    <w:p w14:paraId="19242648" w14:textId="247262EB" w:rsidR="00291E5E" w:rsidRPr="00E80A34" w:rsidRDefault="00291E5E" w:rsidP="00B12301">
      <w:pPr>
        <w:rPr>
          <w:i/>
          <w:iCs/>
        </w:rPr>
      </w:pPr>
      <w:r w:rsidRPr="00E80A34">
        <w:rPr>
          <w:i/>
          <w:iCs/>
        </w:rPr>
        <w:t xml:space="preserve">MetLife Insurance Ltd </w:t>
      </w:r>
      <w:r w:rsidR="0050078B">
        <w:rPr>
          <w:i/>
          <w:iCs/>
        </w:rPr>
        <w:noBreakHyphen/>
      </w:r>
      <w:r w:rsidRPr="00E80A34">
        <w:rPr>
          <w:i/>
          <w:iCs/>
        </w:rPr>
        <w:t>v</w:t>
      </w:r>
      <w:r w:rsidR="0050078B">
        <w:rPr>
          <w:i/>
          <w:iCs/>
        </w:rPr>
        <w:noBreakHyphen/>
      </w:r>
      <w:r w:rsidRPr="00E80A34">
        <w:rPr>
          <w:i/>
          <w:iCs/>
        </w:rPr>
        <w:t xml:space="preserve"> Marie Hart &amp;Ors. NSD 1260/ 2020</w:t>
      </w:r>
    </w:p>
    <w:p w14:paraId="1ADD5EAB" w14:textId="2AD86CE4" w:rsidR="00291E5E" w:rsidRPr="00E80A34" w:rsidRDefault="00291E5E" w:rsidP="00B12301">
      <w:pPr>
        <w:rPr>
          <w:i/>
          <w:iCs/>
        </w:rPr>
      </w:pPr>
      <w:r w:rsidRPr="00E80A34">
        <w:rPr>
          <w:i/>
          <w:iCs/>
        </w:rPr>
        <w:t xml:space="preserve">Riseley </w:t>
      </w:r>
      <w:r w:rsidR="0050078B">
        <w:rPr>
          <w:i/>
          <w:iCs/>
        </w:rPr>
        <w:noBreakHyphen/>
      </w:r>
      <w:r w:rsidRPr="00E80A34">
        <w:rPr>
          <w:i/>
          <w:iCs/>
        </w:rPr>
        <w:t>v</w:t>
      </w:r>
      <w:r w:rsidR="0050078B">
        <w:rPr>
          <w:i/>
          <w:iCs/>
        </w:rPr>
        <w:noBreakHyphen/>
      </w:r>
      <w:r w:rsidRPr="00E80A34">
        <w:rPr>
          <w:i/>
          <w:iCs/>
        </w:rPr>
        <w:t xml:space="preserve"> Suncorp Portfolio Ltd WAD 155/2020</w:t>
      </w:r>
    </w:p>
    <w:p w14:paraId="398576AD" w14:textId="577224AC" w:rsidR="00291E5E" w:rsidRPr="00E80A34" w:rsidRDefault="00291E5E" w:rsidP="00B12301">
      <w:pPr>
        <w:rPr>
          <w:i/>
          <w:iCs/>
        </w:rPr>
      </w:pPr>
      <w:r w:rsidRPr="00E80A34">
        <w:rPr>
          <w:i/>
          <w:iCs/>
        </w:rPr>
        <w:t>Singh Sawhney</w:t>
      </w:r>
      <w:r w:rsidR="0050078B">
        <w:rPr>
          <w:i/>
          <w:iCs/>
        </w:rPr>
        <w:noBreakHyphen/>
      </w:r>
      <w:r w:rsidRPr="00E80A34">
        <w:rPr>
          <w:i/>
          <w:iCs/>
        </w:rPr>
        <w:t>v</w:t>
      </w:r>
      <w:r w:rsidR="0050078B">
        <w:rPr>
          <w:i/>
          <w:iCs/>
        </w:rPr>
        <w:noBreakHyphen/>
      </w:r>
      <w:r w:rsidRPr="00E80A34">
        <w:rPr>
          <w:i/>
          <w:iCs/>
        </w:rPr>
        <w:t xml:space="preserve"> AustralianSuper Pty Ltd VID 504/2020</w:t>
      </w:r>
    </w:p>
    <w:p w14:paraId="73D3D944" w14:textId="1E70133D" w:rsidR="00291E5E" w:rsidRPr="00291E5E" w:rsidRDefault="00291E5E" w:rsidP="00EB5AF9">
      <w:pPr>
        <w:pStyle w:val="ARH3-Bodycopyheadinglevel1"/>
      </w:pPr>
      <w:r w:rsidRPr="00291E5E">
        <w:t>FEDERAL COURT JUDGMENTS HANDED DOWN</w:t>
      </w:r>
    </w:p>
    <w:p w14:paraId="2142EBAF" w14:textId="7A766BE5" w:rsidR="00291E5E" w:rsidRPr="00E80A34" w:rsidRDefault="00291E5E" w:rsidP="00B12301">
      <w:pPr>
        <w:rPr>
          <w:i/>
          <w:iCs/>
        </w:rPr>
      </w:pPr>
      <w:r w:rsidRPr="00E80A34">
        <w:rPr>
          <w:i/>
          <w:iCs/>
          <w:lang w:eastAsia="en-AU"/>
        </w:rPr>
        <w:t xml:space="preserve">EEU 20 By her litigation representative EEV20 </w:t>
      </w:r>
      <w:r w:rsidR="0050078B">
        <w:rPr>
          <w:i/>
          <w:iCs/>
          <w:lang w:eastAsia="en-AU"/>
        </w:rPr>
        <w:noBreakHyphen/>
      </w:r>
      <w:r w:rsidRPr="00E80A34">
        <w:rPr>
          <w:i/>
          <w:iCs/>
          <w:lang w:eastAsia="en-AU"/>
        </w:rPr>
        <w:t>v</w:t>
      </w:r>
      <w:r w:rsidR="0050078B">
        <w:rPr>
          <w:i/>
          <w:iCs/>
          <w:lang w:eastAsia="en-AU"/>
        </w:rPr>
        <w:noBreakHyphen/>
      </w:r>
      <w:r w:rsidRPr="00E80A34">
        <w:rPr>
          <w:i/>
          <w:iCs/>
          <w:lang w:eastAsia="en-AU"/>
        </w:rPr>
        <w:t xml:space="preserve"> Meat Industry Employees</w:t>
      </w:r>
      <w:r w:rsidR="0050078B">
        <w:rPr>
          <w:i/>
          <w:iCs/>
          <w:lang w:eastAsia="en-AU"/>
        </w:rPr>
        <w:t>’</w:t>
      </w:r>
      <w:r w:rsidRPr="00E80A34">
        <w:rPr>
          <w:i/>
          <w:iCs/>
          <w:lang w:eastAsia="en-AU"/>
        </w:rPr>
        <w:t xml:space="preserve"> Superannuation Fund Pty Ltd as Trustee of the Meat Employees</w:t>
      </w:r>
      <w:r w:rsidR="0050078B">
        <w:rPr>
          <w:i/>
          <w:iCs/>
          <w:lang w:eastAsia="en-AU"/>
        </w:rPr>
        <w:t>’</w:t>
      </w:r>
      <w:r w:rsidRPr="00E80A34">
        <w:rPr>
          <w:i/>
          <w:iCs/>
          <w:lang w:eastAsia="en-AU"/>
        </w:rPr>
        <w:t xml:space="preserve"> Superannuation Fund VID 946/ 2019</w:t>
      </w:r>
    </w:p>
    <w:p w14:paraId="1AA6922C" w14:textId="641BA79F" w:rsidR="00291E5E" w:rsidRPr="00291E5E" w:rsidRDefault="00291E5E" w:rsidP="00E80A34">
      <w:pPr>
        <w:pStyle w:val="ARH3-Bodycopyheadinglevel1"/>
      </w:pPr>
      <w:r w:rsidRPr="00291E5E">
        <w:t>FEDERAL COURT APPEALS SETTLED OR DISCONTINUED</w:t>
      </w:r>
    </w:p>
    <w:p w14:paraId="03425C0F" w14:textId="77777777" w:rsidR="00291E5E" w:rsidRPr="00E80A34" w:rsidRDefault="00291E5E" w:rsidP="00B12301">
      <w:pPr>
        <w:rPr>
          <w:i/>
          <w:iCs/>
          <w:lang w:eastAsia="en-AU"/>
        </w:rPr>
      </w:pPr>
      <w:r w:rsidRPr="00E80A34">
        <w:rPr>
          <w:i/>
          <w:iCs/>
          <w:lang w:eastAsia="en-AU"/>
        </w:rPr>
        <w:t>Scott Steele v Superannuation Complaints Tribunal [WAD71/2020]</w:t>
      </w:r>
    </w:p>
    <w:p w14:paraId="23D25629" w14:textId="42D549F3" w:rsidR="00291E5E" w:rsidRPr="00E80A34" w:rsidRDefault="00291E5E" w:rsidP="00B12301">
      <w:pPr>
        <w:rPr>
          <w:i/>
          <w:iCs/>
        </w:rPr>
      </w:pPr>
      <w:r w:rsidRPr="00E80A34">
        <w:rPr>
          <w:i/>
          <w:iCs/>
        </w:rPr>
        <w:t xml:space="preserve">Damien Brown </w:t>
      </w:r>
      <w:r w:rsidR="0050078B">
        <w:rPr>
          <w:i/>
          <w:iCs/>
        </w:rPr>
        <w:noBreakHyphen/>
      </w:r>
      <w:r w:rsidRPr="00E80A34">
        <w:rPr>
          <w:i/>
          <w:iCs/>
        </w:rPr>
        <w:t>v</w:t>
      </w:r>
      <w:r w:rsidR="0050078B">
        <w:rPr>
          <w:i/>
          <w:iCs/>
        </w:rPr>
        <w:noBreakHyphen/>
      </w:r>
      <w:r w:rsidRPr="00E80A34">
        <w:rPr>
          <w:i/>
          <w:iCs/>
        </w:rPr>
        <w:t xml:space="preserve"> Commonwealth Superannuation Corporation QUD 248/2020</w:t>
      </w:r>
    </w:p>
    <w:p w14:paraId="57402AE7" w14:textId="7F085D55" w:rsidR="00291E5E" w:rsidRPr="00E80A34" w:rsidRDefault="00291E5E" w:rsidP="00B12301">
      <w:pPr>
        <w:rPr>
          <w:i/>
          <w:iCs/>
        </w:rPr>
      </w:pPr>
      <w:r w:rsidRPr="00E80A34">
        <w:rPr>
          <w:i/>
          <w:iCs/>
        </w:rPr>
        <w:t>Singh Sawhney</w:t>
      </w:r>
      <w:r w:rsidR="0050078B">
        <w:rPr>
          <w:i/>
          <w:iCs/>
        </w:rPr>
        <w:noBreakHyphen/>
      </w:r>
      <w:r w:rsidRPr="00E80A34">
        <w:rPr>
          <w:i/>
          <w:iCs/>
        </w:rPr>
        <w:t>v</w:t>
      </w:r>
      <w:r w:rsidR="0050078B">
        <w:rPr>
          <w:i/>
          <w:iCs/>
        </w:rPr>
        <w:noBreakHyphen/>
      </w:r>
      <w:r w:rsidRPr="00E80A34">
        <w:rPr>
          <w:i/>
          <w:iCs/>
        </w:rPr>
        <w:t xml:space="preserve"> AustralianSuper Pty Ltd VID 504/2020</w:t>
      </w:r>
    </w:p>
    <w:p w14:paraId="53BABFC0" w14:textId="6879B2B3" w:rsidR="00291E5E" w:rsidRPr="00E80A34" w:rsidRDefault="00291E5E" w:rsidP="00B12301">
      <w:pPr>
        <w:rPr>
          <w:i/>
          <w:iCs/>
        </w:rPr>
      </w:pPr>
      <w:r w:rsidRPr="00E80A34">
        <w:rPr>
          <w:i/>
          <w:iCs/>
          <w:lang w:eastAsia="en-AU"/>
        </w:rPr>
        <w:t xml:space="preserve">David Joseph Carmody </w:t>
      </w:r>
      <w:r w:rsidR="0050078B">
        <w:rPr>
          <w:i/>
          <w:iCs/>
          <w:lang w:eastAsia="en-AU"/>
        </w:rPr>
        <w:noBreakHyphen/>
      </w:r>
      <w:r w:rsidRPr="00E80A34">
        <w:rPr>
          <w:i/>
          <w:iCs/>
          <w:lang w:eastAsia="en-AU"/>
        </w:rPr>
        <w:t>v</w:t>
      </w:r>
      <w:r w:rsidR="0050078B">
        <w:rPr>
          <w:i/>
          <w:iCs/>
          <w:lang w:eastAsia="en-AU"/>
        </w:rPr>
        <w:noBreakHyphen/>
      </w:r>
      <w:r w:rsidRPr="00E80A34">
        <w:rPr>
          <w:i/>
          <w:iCs/>
          <w:lang w:eastAsia="en-AU"/>
        </w:rPr>
        <w:t xml:space="preserve"> SCT QUD 481/ 2018</w:t>
      </w:r>
    </w:p>
    <w:p w14:paraId="4653B772" w14:textId="67B8BB53" w:rsidR="00291E5E" w:rsidRPr="00291E5E" w:rsidRDefault="00291E5E" w:rsidP="00E80A34">
      <w:pPr>
        <w:pStyle w:val="ARH3-Bodycopyheadinglevel1"/>
      </w:pPr>
      <w:r w:rsidRPr="00291E5E">
        <w:t>FEDERAL COURT MATTERS PENDING AT 31 DECEMBER 2020</w:t>
      </w:r>
    </w:p>
    <w:p w14:paraId="14B17C9D" w14:textId="77777777" w:rsidR="00291E5E" w:rsidRPr="00E80A34" w:rsidRDefault="00291E5E" w:rsidP="00B12301">
      <w:pPr>
        <w:rPr>
          <w:i/>
          <w:iCs/>
          <w:lang w:eastAsia="en-AU"/>
        </w:rPr>
      </w:pPr>
      <w:r w:rsidRPr="00E80A34">
        <w:rPr>
          <w:i/>
          <w:iCs/>
          <w:lang w:eastAsia="en-AU"/>
        </w:rPr>
        <w:t xml:space="preserve">Agnes Tito (As Administrator of the Estate of the Late Mita Atkins) &amp; Ors [NSD489/2020] </w:t>
      </w:r>
    </w:p>
    <w:p w14:paraId="78065199" w14:textId="77777777" w:rsidR="00291E5E" w:rsidRPr="00E80A34" w:rsidRDefault="00291E5E" w:rsidP="00B12301">
      <w:pPr>
        <w:rPr>
          <w:i/>
          <w:iCs/>
          <w:lang w:eastAsia="en-AU"/>
        </w:rPr>
      </w:pPr>
      <w:r w:rsidRPr="00E80A34">
        <w:rPr>
          <w:i/>
          <w:iCs/>
          <w:lang w:eastAsia="en-AU"/>
        </w:rPr>
        <w:t>Tracey Ann Clarke v SCT &amp; Ors [VID388/2020]</w:t>
      </w:r>
    </w:p>
    <w:p w14:paraId="25754E20" w14:textId="4975FCD5" w:rsidR="00291E5E" w:rsidRPr="00E80A34" w:rsidRDefault="00291E5E" w:rsidP="00B12301">
      <w:pPr>
        <w:rPr>
          <w:i/>
          <w:iCs/>
        </w:rPr>
      </w:pPr>
      <w:r w:rsidRPr="00E80A34">
        <w:rPr>
          <w:i/>
          <w:iCs/>
        </w:rPr>
        <w:t xml:space="preserve">MetLife Insurance Ltd </w:t>
      </w:r>
      <w:r w:rsidR="0050078B">
        <w:rPr>
          <w:i/>
          <w:iCs/>
        </w:rPr>
        <w:noBreakHyphen/>
      </w:r>
      <w:r w:rsidRPr="00E80A34">
        <w:rPr>
          <w:i/>
          <w:iCs/>
        </w:rPr>
        <w:t>v</w:t>
      </w:r>
      <w:r w:rsidR="0050078B">
        <w:rPr>
          <w:i/>
          <w:iCs/>
        </w:rPr>
        <w:noBreakHyphen/>
      </w:r>
      <w:r w:rsidRPr="00E80A34">
        <w:rPr>
          <w:i/>
          <w:iCs/>
        </w:rPr>
        <w:t xml:space="preserve"> Marie Hart &amp;Ors. NSD 1260/ 2020</w:t>
      </w:r>
    </w:p>
    <w:p w14:paraId="2042D8B3" w14:textId="4CEAEFA1" w:rsidR="00291E5E" w:rsidRPr="00E80A34" w:rsidRDefault="00291E5E" w:rsidP="00B12301">
      <w:pPr>
        <w:rPr>
          <w:i/>
          <w:iCs/>
        </w:rPr>
      </w:pPr>
      <w:r w:rsidRPr="00E80A34">
        <w:rPr>
          <w:i/>
          <w:iCs/>
        </w:rPr>
        <w:t xml:space="preserve">Riseley </w:t>
      </w:r>
      <w:r w:rsidR="0050078B">
        <w:rPr>
          <w:i/>
          <w:iCs/>
        </w:rPr>
        <w:noBreakHyphen/>
      </w:r>
      <w:r w:rsidRPr="00E80A34">
        <w:rPr>
          <w:i/>
          <w:iCs/>
        </w:rPr>
        <w:t>v</w:t>
      </w:r>
      <w:r w:rsidR="0050078B">
        <w:rPr>
          <w:i/>
          <w:iCs/>
        </w:rPr>
        <w:noBreakHyphen/>
      </w:r>
      <w:r w:rsidRPr="00E80A34">
        <w:rPr>
          <w:i/>
          <w:iCs/>
        </w:rPr>
        <w:t xml:space="preserve"> Suncorp Portfolio Ltd WAD 155/2020</w:t>
      </w:r>
    </w:p>
    <w:p w14:paraId="3F8011E9" w14:textId="77777777" w:rsidR="00291E5E" w:rsidRPr="00291E5E" w:rsidRDefault="00291E5E" w:rsidP="00B12301">
      <w:r w:rsidRPr="00291E5E">
        <w:br w:type="page"/>
      </w:r>
    </w:p>
    <w:p w14:paraId="2F3BEB0B" w14:textId="77777777" w:rsidR="00291E5E" w:rsidRPr="00291E5E" w:rsidRDefault="00291E5E" w:rsidP="00D579F2">
      <w:pPr>
        <w:pStyle w:val="ARH1-Mainsectionheading"/>
      </w:pPr>
      <w:bookmarkStart w:id="35" w:name="_Toc82442780"/>
      <w:r w:rsidRPr="00291E5E">
        <w:lastRenderedPageBreak/>
        <w:t>Glossary</w:t>
      </w:r>
      <w:bookmarkEnd w:id="3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379"/>
      </w:tblGrid>
      <w:tr w:rsidR="00291E5E" w:rsidRPr="00291E5E" w14:paraId="21E4FF33" w14:textId="77777777" w:rsidTr="00E80A34">
        <w:tc>
          <w:tcPr>
            <w:tcW w:w="2263" w:type="dxa"/>
            <w:tcBorders>
              <w:bottom w:val="single" w:sz="4" w:space="0" w:color="auto"/>
            </w:tcBorders>
            <w:shd w:val="clear" w:color="auto" w:fill="0072CE"/>
          </w:tcPr>
          <w:p w14:paraId="390A20A3" w14:textId="77777777" w:rsidR="00291E5E" w:rsidRPr="00291E5E" w:rsidRDefault="00291E5E" w:rsidP="00E80A34">
            <w:pPr>
              <w:pStyle w:val="ARTableHeader"/>
              <w:spacing w:before="120" w:after="120"/>
            </w:pPr>
            <w:r w:rsidRPr="00291E5E">
              <w:t>Term</w:t>
            </w:r>
          </w:p>
        </w:tc>
        <w:tc>
          <w:tcPr>
            <w:tcW w:w="6379" w:type="dxa"/>
            <w:tcBorders>
              <w:bottom w:val="single" w:sz="4" w:space="0" w:color="auto"/>
            </w:tcBorders>
            <w:shd w:val="clear" w:color="auto" w:fill="0072CE"/>
          </w:tcPr>
          <w:p w14:paraId="5492E195" w14:textId="77777777" w:rsidR="00291E5E" w:rsidRPr="00291E5E" w:rsidRDefault="00291E5E" w:rsidP="00E80A34">
            <w:pPr>
              <w:pStyle w:val="ARTableHeader"/>
              <w:spacing w:before="120" w:after="120"/>
            </w:pPr>
            <w:r w:rsidRPr="00291E5E">
              <w:t>Meaning</w:t>
            </w:r>
          </w:p>
        </w:tc>
      </w:tr>
      <w:tr w:rsidR="00291E5E" w:rsidRPr="00291E5E" w14:paraId="1C1C2931" w14:textId="77777777" w:rsidTr="00455563">
        <w:tc>
          <w:tcPr>
            <w:tcW w:w="2263" w:type="dxa"/>
            <w:tcBorders>
              <w:top w:val="single" w:sz="4" w:space="0" w:color="auto"/>
            </w:tcBorders>
          </w:tcPr>
          <w:p w14:paraId="691F1AD8" w14:textId="77777777" w:rsidR="00291E5E" w:rsidRPr="00E80A34" w:rsidRDefault="00291E5E" w:rsidP="00E80A34">
            <w:pPr>
              <w:pStyle w:val="ARTableText"/>
              <w:spacing w:before="120" w:after="120"/>
              <w:rPr>
                <w:b/>
                <w:bCs/>
              </w:rPr>
            </w:pPr>
            <w:r w:rsidRPr="00E80A34">
              <w:rPr>
                <w:b/>
                <w:bCs/>
              </w:rPr>
              <w:t>AFCA</w:t>
            </w:r>
          </w:p>
        </w:tc>
        <w:tc>
          <w:tcPr>
            <w:tcW w:w="6379" w:type="dxa"/>
            <w:tcBorders>
              <w:top w:val="single" w:sz="4" w:space="0" w:color="auto"/>
            </w:tcBorders>
          </w:tcPr>
          <w:p w14:paraId="6955D012" w14:textId="77777777" w:rsidR="00291E5E" w:rsidRPr="00291E5E" w:rsidRDefault="00291E5E" w:rsidP="00E80A34">
            <w:pPr>
              <w:pStyle w:val="ARTableText"/>
              <w:spacing w:before="120" w:after="120"/>
            </w:pPr>
            <w:r w:rsidRPr="00291E5E">
              <w:t>Australian Financial Complaints Authority</w:t>
            </w:r>
          </w:p>
        </w:tc>
      </w:tr>
      <w:tr w:rsidR="00291E5E" w:rsidRPr="00291E5E" w14:paraId="7CD2242A" w14:textId="77777777" w:rsidTr="00455563">
        <w:tc>
          <w:tcPr>
            <w:tcW w:w="2263" w:type="dxa"/>
          </w:tcPr>
          <w:p w14:paraId="7F6510CB" w14:textId="77777777" w:rsidR="00291E5E" w:rsidRPr="00E80A34" w:rsidRDefault="00291E5E" w:rsidP="00E80A34">
            <w:pPr>
              <w:pStyle w:val="ARTableText"/>
              <w:spacing w:before="120" w:after="120"/>
              <w:rPr>
                <w:b/>
                <w:bCs/>
              </w:rPr>
            </w:pPr>
            <w:r w:rsidRPr="00E80A34">
              <w:rPr>
                <w:b/>
                <w:bCs/>
              </w:rPr>
              <w:t xml:space="preserve">ADF </w:t>
            </w:r>
          </w:p>
        </w:tc>
        <w:tc>
          <w:tcPr>
            <w:tcW w:w="6379" w:type="dxa"/>
          </w:tcPr>
          <w:p w14:paraId="63422D56" w14:textId="77777777" w:rsidR="00291E5E" w:rsidRPr="00291E5E" w:rsidRDefault="00291E5E" w:rsidP="00E80A34">
            <w:pPr>
              <w:pStyle w:val="ARTableText"/>
              <w:spacing w:before="120" w:after="120"/>
            </w:pPr>
            <w:r w:rsidRPr="00291E5E">
              <w:t>Approved deposit funds</w:t>
            </w:r>
          </w:p>
        </w:tc>
      </w:tr>
      <w:tr w:rsidR="00291E5E" w:rsidRPr="00291E5E" w14:paraId="02E7B7E0" w14:textId="77777777" w:rsidTr="00455563">
        <w:tc>
          <w:tcPr>
            <w:tcW w:w="2263" w:type="dxa"/>
          </w:tcPr>
          <w:p w14:paraId="24C25CFD" w14:textId="77777777" w:rsidR="00291E5E" w:rsidRPr="00E80A34" w:rsidRDefault="00291E5E" w:rsidP="00E80A34">
            <w:pPr>
              <w:pStyle w:val="ARTableText"/>
              <w:spacing w:before="120" w:after="120"/>
              <w:rPr>
                <w:b/>
                <w:bCs/>
              </w:rPr>
            </w:pPr>
            <w:r w:rsidRPr="00E80A34">
              <w:rPr>
                <w:b/>
                <w:bCs/>
              </w:rPr>
              <w:t>APRA</w:t>
            </w:r>
          </w:p>
        </w:tc>
        <w:tc>
          <w:tcPr>
            <w:tcW w:w="6379" w:type="dxa"/>
          </w:tcPr>
          <w:p w14:paraId="4F7627F5" w14:textId="77777777" w:rsidR="00291E5E" w:rsidRPr="00291E5E" w:rsidRDefault="00291E5E" w:rsidP="00E80A34">
            <w:pPr>
              <w:pStyle w:val="ARTableText"/>
              <w:spacing w:before="120" w:after="120"/>
            </w:pPr>
            <w:r w:rsidRPr="00291E5E">
              <w:t xml:space="preserve">Australian Prudential Regulation Authority </w:t>
            </w:r>
          </w:p>
        </w:tc>
      </w:tr>
      <w:tr w:rsidR="00291E5E" w:rsidRPr="00291E5E" w14:paraId="33B02314" w14:textId="77777777" w:rsidTr="00455563">
        <w:tc>
          <w:tcPr>
            <w:tcW w:w="2263" w:type="dxa"/>
          </w:tcPr>
          <w:p w14:paraId="0E85C600" w14:textId="77777777" w:rsidR="00291E5E" w:rsidRPr="00E80A34" w:rsidRDefault="00291E5E" w:rsidP="00E80A34">
            <w:pPr>
              <w:pStyle w:val="ARTableText"/>
              <w:spacing w:before="120" w:after="120"/>
              <w:rPr>
                <w:b/>
                <w:bCs/>
              </w:rPr>
            </w:pPr>
            <w:r w:rsidRPr="00E80A34">
              <w:rPr>
                <w:b/>
                <w:bCs/>
              </w:rPr>
              <w:t>ASIC</w:t>
            </w:r>
          </w:p>
        </w:tc>
        <w:tc>
          <w:tcPr>
            <w:tcW w:w="6379" w:type="dxa"/>
          </w:tcPr>
          <w:p w14:paraId="3D099544" w14:textId="77777777" w:rsidR="00291E5E" w:rsidRPr="00291E5E" w:rsidRDefault="00291E5E" w:rsidP="00E80A34">
            <w:pPr>
              <w:pStyle w:val="ARTableText"/>
              <w:spacing w:before="120" w:after="120"/>
            </w:pPr>
            <w:r w:rsidRPr="00291E5E">
              <w:t>Australian Securities and Investments Commission</w:t>
            </w:r>
          </w:p>
        </w:tc>
      </w:tr>
      <w:tr w:rsidR="00291E5E" w:rsidRPr="00291E5E" w14:paraId="6D844666" w14:textId="77777777" w:rsidTr="00455563">
        <w:tc>
          <w:tcPr>
            <w:tcW w:w="2263" w:type="dxa"/>
          </w:tcPr>
          <w:p w14:paraId="073E73C9" w14:textId="77777777" w:rsidR="00291E5E" w:rsidRPr="00E80A34" w:rsidRDefault="00291E5E" w:rsidP="00E80A34">
            <w:pPr>
              <w:pStyle w:val="ARTableText"/>
              <w:spacing w:before="120" w:after="120"/>
              <w:rPr>
                <w:b/>
                <w:bCs/>
              </w:rPr>
            </w:pPr>
            <w:r w:rsidRPr="00E80A34">
              <w:rPr>
                <w:b/>
                <w:bCs/>
              </w:rPr>
              <w:t>ATO</w:t>
            </w:r>
          </w:p>
        </w:tc>
        <w:tc>
          <w:tcPr>
            <w:tcW w:w="6379" w:type="dxa"/>
          </w:tcPr>
          <w:p w14:paraId="01EC9E5F" w14:textId="77777777" w:rsidR="00291E5E" w:rsidRPr="00291E5E" w:rsidRDefault="00291E5E" w:rsidP="00E80A34">
            <w:pPr>
              <w:pStyle w:val="ARTableText"/>
              <w:spacing w:before="120" w:after="120"/>
            </w:pPr>
            <w:r w:rsidRPr="00291E5E">
              <w:t>Australian Taxation Office</w:t>
            </w:r>
          </w:p>
        </w:tc>
      </w:tr>
      <w:tr w:rsidR="00291E5E" w:rsidRPr="00291E5E" w14:paraId="6DEBBF88" w14:textId="77777777" w:rsidTr="00455563">
        <w:tc>
          <w:tcPr>
            <w:tcW w:w="2263" w:type="dxa"/>
          </w:tcPr>
          <w:p w14:paraId="068DB77D" w14:textId="77777777" w:rsidR="00291E5E" w:rsidRPr="00E80A34" w:rsidRDefault="00291E5E" w:rsidP="00E80A34">
            <w:pPr>
              <w:pStyle w:val="ARTableText"/>
              <w:spacing w:before="120" w:after="120"/>
              <w:rPr>
                <w:b/>
                <w:bCs/>
              </w:rPr>
            </w:pPr>
            <w:r w:rsidRPr="00E80A34">
              <w:rPr>
                <w:b/>
                <w:bCs/>
              </w:rPr>
              <w:t>CPRs</w:t>
            </w:r>
          </w:p>
        </w:tc>
        <w:tc>
          <w:tcPr>
            <w:tcW w:w="6379" w:type="dxa"/>
          </w:tcPr>
          <w:p w14:paraId="05C4E758" w14:textId="77777777" w:rsidR="00291E5E" w:rsidRPr="00291E5E" w:rsidRDefault="00291E5E" w:rsidP="00E80A34">
            <w:pPr>
              <w:pStyle w:val="ARTableText"/>
              <w:spacing w:before="120" w:after="120"/>
            </w:pPr>
            <w:r w:rsidRPr="00291E5E">
              <w:t>Commonwealth Procurement Rules</w:t>
            </w:r>
          </w:p>
        </w:tc>
      </w:tr>
      <w:tr w:rsidR="00291E5E" w:rsidRPr="00291E5E" w14:paraId="24B7DB59" w14:textId="77777777" w:rsidTr="00455563">
        <w:tc>
          <w:tcPr>
            <w:tcW w:w="2263" w:type="dxa"/>
          </w:tcPr>
          <w:p w14:paraId="081FB6D3" w14:textId="1CDD5D92" w:rsidR="00291E5E" w:rsidRPr="00E80A34" w:rsidRDefault="00291E5E" w:rsidP="00E80A34">
            <w:pPr>
              <w:pStyle w:val="ARTableText"/>
              <w:spacing w:before="120" w:after="120"/>
              <w:rPr>
                <w:b/>
                <w:bCs/>
              </w:rPr>
            </w:pPr>
            <w:r w:rsidRPr="00E80A34">
              <w:rPr>
                <w:b/>
                <w:bCs/>
              </w:rPr>
              <w:t>COVID</w:t>
            </w:r>
            <w:r w:rsidR="0050078B">
              <w:rPr>
                <w:b/>
                <w:bCs/>
              </w:rPr>
              <w:noBreakHyphen/>
            </w:r>
            <w:r w:rsidRPr="00E80A34">
              <w:rPr>
                <w:b/>
                <w:bCs/>
              </w:rPr>
              <w:t>19</w:t>
            </w:r>
          </w:p>
        </w:tc>
        <w:tc>
          <w:tcPr>
            <w:tcW w:w="6379" w:type="dxa"/>
          </w:tcPr>
          <w:p w14:paraId="43B57E37" w14:textId="130863AA" w:rsidR="00291E5E" w:rsidRPr="00291E5E" w:rsidRDefault="00291E5E" w:rsidP="00E80A34">
            <w:pPr>
              <w:pStyle w:val="ARTableText"/>
              <w:spacing w:before="120" w:after="120"/>
            </w:pPr>
            <w:r w:rsidRPr="00291E5E">
              <w:t>Coronavirus disease caused by the SARS</w:t>
            </w:r>
            <w:r w:rsidR="0050078B">
              <w:noBreakHyphen/>
            </w:r>
            <w:r w:rsidRPr="00291E5E">
              <w:t>CoV2 virus of 2019</w:t>
            </w:r>
          </w:p>
        </w:tc>
      </w:tr>
      <w:tr w:rsidR="00291E5E" w:rsidRPr="00291E5E" w14:paraId="72504A02" w14:textId="77777777" w:rsidTr="00455563">
        <w:tc>
          <w:tcPr>
            <w:tcW w:w="2263" w:type="dxa"/>
          </w:tcPr>
          <w:p w14:paraId="3C66B73B" w14:textId="77777777" w:rsidR="00291E5E" w:rsidRPr="00E80A34" w:rsidRDefault="00291E5E" w:rsidP="00E80A34">
            <w:pPr>
              <w:pStyle w:val="ARTableText"/>
              <w:spacing w:before="120" w:after="120"/>
              <w:rPr>
                <w:b/>
                <w:bCs/>
              </w:rPr>
            </w:pPr>
            <w:r w:rsidRPr="00E80A34">
              <w:rPr>
                <w:b/>
                <w:bCs/>
              </w:rPr>
              <w:t>FOI</w:t>
            </w:r>
          </w:p>
        </w:tc>
        <w:tc>
          <w:tcPr>
            <w:tcW w:w="6379" w:type="dxa"/>
          </w:tcPr>
          <w:p w14:paraId="4B901A5D" w14:textId="77777777" w:rsidR="00291E5E" w:rsidRPr="00291E5E" w:rsidRDefault="00291E5E" w:rsidP="00E80A34">
            <w:pPr>
              <w:pStyle w:val="ARTableText"/>
              <w:spacing w:before="120" w:after="120"/>
            </w:pPr>
            <w:r w:rsidRPr="00291E5E">
              <w:t>Freedom of Information</w:t>
            </w:r>
          </w:p>
        </w:tc>
      </w:tr>
      <w:tr w:rsidR="00291E5E" w:rsidRPr="00291E5E" w14:paraId="5E754C65" w14:textId="77777777" w:rsidTr="00455563">
        <w:tc>
          <w:tcPr>
            <w:tcW w:w="2263" w:type="dxa"/>
          </w:tcPr>
          <w:p w14:paraId="0D3421F8" w14:textId="77777777" w:rsidR="00291E5E" w:rsidRPr="00E80A34" w:rsidRDefault="00291E5E" w:rsidP="00E80A34">
            <w:pPr>
              <w:pStyle w:val="ARTableText"/>
              <w:spacing w:before="120" w:after="120"/>
              <w:rPr>
                <w:b/>
                <w:bCs/>
              </w:rPr>
            </w:pPr>
            <w:r w:rsidRPr="00E80A34">
              <w:rPr>
                <w:b/>
                <w:bCs/>
              </w:rPr>
              <w:t>FOI Act</w:t>
            </w:r>
          </w:p>
        </w:tc>
        <w:tc>
          <w:tcPr>
            <w:tcW w:w="6379" w:type="dxa"/>
          </w:tcPr>
          <w:p w14:paraId="2407E8A8" w14:textId="77777777" w:rsidR="00291E5E" w:rsidRPr="00E80A34" w:rsidRDefault="00291E5E" w:rsidP="00E80A34">
            <w:pPr>
              <w:pStyle w:val="ARTableText"/>
              <w:spacing w:before="120" w:after="120"/>
              <w:rPr>
                <w:i/>
                <w:iCs/>
              </w:rPr>
            </w:pPr>
            <w:r w:rsidRPr="00E80A34">
              <w:rPr>
                <w:i/>
                <w:iCs/>
              </w:rPr>
              <w:t>Freedom of Information Act 1982</w:t>
            </w:r>
          </w:p>
        </w:tc>
      </w:tr>
      <w:tr w:rsidR="00291E5E" w:rsidRPr="00291E5E" w14:paraId="5D0CA743" w14:textId="77777777" w:rsidTr="00455563">
        <w:tc>
          <w:tcPr>
            <w:tcW w:w="2263" w:type="dxa"/>
          </w:tcPr>
          <w:p w14:paraId="5500B6F3" w14:textId="77777777" w:rsidR="00291E5E" w:rsidRPr="00E80A34" w:rsidRDefault="00291E5E" w:rsidP="00E80A34">
            <w:pPr>
              <w:pStyle w:val="ARTableText"/>
              <w:spacing w:before="120" w:after="120"/>
              <w:rPr>
                <w:b/>
                <w:bCs/>
              </w:rPr>
            </w:pPr>
            <w:r w:rsidRPr="00E80A34">
              <w:rPr>
                <w:b/>
                <w:bCs/>
              </w:rPr>
              <w:t>IPS</w:t>
            </w:r>
          </w:p>
        </w:tc>
        <w:tc>
          <w:tcPr>
            <w:tcW w:w="6379" w:type="dxa"/>
          </w:tcPr>
          <w:p w14:paraId="17777693" w14:textId="77777777" w:rsidR="00291E5E" w:rsidRPr="00291E5E" w:rsidRDefault="00291E5E" w:rsidP="00E80A34">
            <w:pPr>
              <w:pStyle w:val="ARTableText"/>
              <w:spacing w:before="120" w:after="120"/>
            </w:pPr>
            <w:r w:rsidRPr="00291E5E">
              <w:t>Information publication scheme</w:t>
            </w:r>
          </w:p>
        </w:tc>
      </w:tr>
      <w:tr w:rsidR="00291E5E" w:rsidRPr="00291E5E" w14:paraId="058B26EE" w14:textId="77777777" w:rsidTr="00455563">
        <w:tc>
          <w:tcPr>
            <w:tcW w:w="2263" w:type="dxa"/>
          </w:tcPr>
          <w:p w14:paraId="4979A894" w14:textId="77777777" w:rsidR="00291E5E" w:rsidRPr="00E80A34" w:rsidRDefault="00291E5E" w:rsidP="00E80A34">
            <w:pPr>
              <w:pStyle w:val="ARTableText"/>
              <w:spacing w:before="120" w:after="120"/>
              <w:rPr>
                <w:b/>
                <w:bCs/>
              </w:rPr>
            </w:pPr>
            <w:r w:rsidRPr="00E80A34">
              <w:rPr>
                <w:b/>
                <w:bCs/>
              </w:rPr>
              <w:t>MOU</w:t>
            </w:r>
          </w:p>
        </w:tc>
        <w:tc>
          <w:tcPr>
            <w:tcW w:w="6379" w:type="dxa"/>
          </w:tcPr>
          <w:p w14:paraId="5B451D8A" w14:textId="77777777" w:rsidR="00291E5E" w:rsidRPr="00291E5E" w:rsidRDefault="00291E5E" w:rsidP="00E80A34">
            <w:pPr>
              <w:pStyle w:val="ARTableText"/>
              <w:spacing w:before="120" w:after="120"/>
            </w:pPr>
            <w:r w:rsidRPr="00291E5E">
              <w:t>Memorandum of Understanding</w:t>
            </w:r>
          </w:p>
        </w:tc>
      </w:tr>
      <w:tr w:rsidR="00291E5E" w:rsidRPr="00291E5E" w14:paraId="06B9E3E1" w14:textId="77777777" w:rsidTr="00455563">
        <w:tc>
          <w:tcPr>
            <w:tcW w:w="2263" w:type="dxa"/>
          </w:tcPr>
          <w:p w14:paraId="46612C3C" w14:textId="77777777" w:rsidR="00291E5E" w:rsidRPr="00E80A34" w:rsidRDefault="00291E5E" w:rsidP="00E80A34">
            <w:pPr>
              <w:pStyle w:val="ARTableText"/>
              <w:spacing w:before="120" w:after="120"/>
              <w:rPr>
                <w:b/>
                <w:bCs/>
              </w:rPr>
            </w:pPr>
            <w:r w:rsidRPr="00E80A34">
              <w:rPr>
                <w:b/>
                <w:bCs/>
              </w:rPr>
              <w:t>OAIC</w:t>
            </w:r>
          </w:p>
        </w:tc>
        <w:tc>
          <w:tcPr>
            <w:tcW w:w="6379" w:type="dxa"/>
          </w:tcPr>
          <w:p w14:paraId="18EAE758" w14:textId="77777777" w:rsidR="00291E5E" w:rsidRPr="00291E5E" w:rsidRDefault="00291E5E" w:rsidP="00E80A34">
            <w:pPr>
              <w:pStyle w:val="ARTableText"/>
              <w:spacing w:before="120" w:after="120"/>
            </w:pPr>
            <w:r w:rsidRPr="00291E5E">
              <w:t>Office of the Australian Information Commissioner</w:t>
            </w:r>
          </w:p>
        </w:tc>
      </w:tr>
      <w:tr w:rsidR="00291E5E" w:rsidRPr="00291E5E" w14:paraId="504EEDD1" w14:textId="77777777" w:rsidTr="00455563">
        <w:tc>
          <w:tcPr>
            <w:tcW w:w="2263" w:type="dxa"/>
          </w:tcPr>
          <w:p w14:paraId="2467D81A" w14:textId="77777777" w:rsidR="00291E5E" w:rsidRPr="00E80A34" w:rsidRDefault="00291E5E" w:rsidP="00E80A34">
            <w:pPr>
              <w:pStyle w:val="ARTableText"/>
              <w:spacing w:before="120" w:after="120"/>
              <w:rPr>
                <w:b/>
                <w:bCs/>
              </w:rPr>
            </w:pPr>
            <w:r w:rsidRPr="00E80A34">
              <w:rPr>
                <w:b/>
                <w:bCs/>
              </w:rPr>
              <w:t>PGPA Act</w:t>
            </w:r>
          </w:p>
        </w:tc>
        <w:tc>
          <w:tcPr>
            <w:tcW w:w="6379" w:type="dxa"/>
          </w:tcPr>
          <w:p w14:paraId="3EDA1B1D" w14:textId="77777777" w:rsidR="00291E5E" w:rsidRPr="00E80A34" w:rsidRDefault="00291E5E" w:rsidP="00E80A34">
            <w:pPr>
              <w:pStyle w:val="ARTableText"/>
              <w:spacing w:before="120" w:after="120"/>
              <w:rPr>
                <w:i/>
                <w:iCs/>
              </w:rPr>
            </w:pPr>
            <w:r w:rsidRPr="00E80A34">
              <w:rPr>
                <w:i/>
                <w:iCs/>
              </w:rPr>
              <w:t>Public Governance, Performance and Accountability Act 2013</w:t>
            </w:r>
          </w:p>
        </w:tc>
      </w:tr>
      <w:tr w:rsidR="00291E5E" w:rsidRPr="00291E5E" w14:paraId="661D7D8D" w14:textId="77777777" w:rsidTr="00455563">
        <w:tc>
          <w:tcPr>
            <w:tcW w:w="2263" w:type="dxa"/>
          </w:tcPr>
          <w:p w14:paraId="7F06534C" w14:textId="77777777" w:rsidR="00291E5E" w:rsidRPr="00E80A34" w:rsidRDefault="00291E5E" w:rsidP="00E80A34">
            <w:pPr>
              <w:pStyle w:val="ARTableText"/>
              <w:spacing w:before="120" w:after="120"/>
              <w:rPr>
                <w:b/>
                <w:bCs/>
              </w:rPr>
            </w:pPr>
            <w:r w:rsidRPr="00E80A34">
              <w:rPr>
                <w:b/>
                <w:bCs/>
              </w:rPr>
              <w:t>PGPA Rule</w:t>
            </w:r>
          </w:p>
        </w:tc>
        <w:tc>
          <w:tcPr>
            <w:tcW w:w="6379" w:type="dxa"/>
          </w:tcPr>
          <w:p w14:paraId="30B68BC9" w14:textId="77777777" w:rsidR="00291E5E" w:rsidRPr="00E80A34" w:rsidRDefault="00291E5E" w:rsidP="00E80A34">
            <w:pPr>
              <w:pStyle w:val="ARTableText"/>
              <w:spacing w:before="120" w:after="120"/>
              <w:rPr>
                <w:i/>
                <w:iCs/>
              </w:rPr>
            </w:pPr>
            <w:r w:rsidRPr="00E80A34">
              <w:rPr>
                <w:i/>
                <w:iCs/>
              </w:rPr>
              <w:t>Public Governance, Performance and Accountability Rule 2014</w:t>
            </w:r>
          </w:p>
        </w:tc>
      </w:tr>
      <w:tr w:rsidR="00291E5E" w:rsidRPr="00291E5E" w14:paraId="6F60424E" w14:textId="77777777" w:rsidTr="00455563">
        <w:tc>
          <w:tcPr>
            <w:tcW w:w="2263" w:type="dxa"/>
          </w:tcPr>
          <w:p w14:paraId="14667AC5" w14:textId="77777777" w:rsidR="00291E5E" w:rsidRPr="00E80A34" w:rsidRDefault="00291E5E" w:rsidP="00E80A34">
            <w:pPr>
              <w:pStyle w:val="ARTableText"/>
              <w:spacing w:before="120" w:after="120"/>
              <w:rPr>
                <w:b/>
                <w:bCs/>
              </w:rPr>
            </w:pPr>
            <w:r w:rsidRPr="00E80A34">
              <w:rPr>
                <w:b/>
                <w:bCs/>
              </w:rPr>
              <w:t>Remuneration Act</w:t>
            </w:r>
          </w:p>
        </w:tc>
        <w:tc>
          <w:tcPr>
            <w:tcW w:w="6379" w:type="dxa"/>
          </w:tcPr>
          <w:p w14:paraId="3A80844D" w14:textId="77777777" w:rsidR="00291E5E" w:rsidRPr="00E80A34" w:rsidRDefault="00291E5E" w:rsidP="00E80A34">
            <w:pPr>
              <w:pStyle w:val="ARTableText"/>
              <w:spacing w:before="120" w:after="120"/>
              <w:rPr>
                <w:i/>
                <w:iCs/>
              </w:rPr>
            </w:pPr>
            <w:r w:rsidRPr="00E80A34">
              <w:rPr>
                <w:i/>
                <w:iCs/>
              </w:rPr>
              <w:t>Remuneration Tribunal Act 1973</w:t>
            </w:r>
          </w:p>
        </w:tc>
      </w:tr>
      <w:tr w:rsidR="00291E5E" w:rsidRPr="00291E5E" w14:paraId="358E6857" w14:textId="77777777" w:rsidTr="00455563">
        <w:tc>
          <w:tcPr>
            <w:tcW w:w="2263" w:type="dxa"/>
          </w:tcPr>
          <w:p w14:paraId="5ADC9D59" w14:textId="77777777" w:rsidR="00291E5E" w:rsidRPr="00E80A34" w:rsidRDefault="00291E5E" w:rsidP="00E80A34">
            <w:pPr>
              <w:pStyle w:val="ARTableText"/>
              <w:spacing w:before="120" w:after="120"/>
              <w:rPr>
                <w:b/>
                <w:bCs/>
              </w:rPr>
            </w:pPr>
            <w:r w:rsidRPr="00E80A34">
              <w:rPr>
                <w:b/>
                <w:bCs/>
              </w:rPr>
              <w:t>RSA</w:t>
            </w:r>
          </w:p>
        </w:tc>
        <w:tc>
          <w:tcPr>
            <w:tcW w:w="6379" w:type="dxa"/>
          </w:tcPr>
          <w:p w14:paraId="5C8D58A4" w14:textId="77777777" w:rsidR="00291E5E" w:rsidRPr="00291E5E" w:rsidRDefault="00291E5E" w:rsidP="00E80A34">
            <w:pPr>
              <w:pStyle w:val="ARTableText"/>
              <w:spacing w:before="120" w:after="120"/>
            </w:pPr>
            <w:r w:rsidRPr="00291E5E">
              <w:t>Retirement savings account</w:t>
            </w:r>
          </w:p>
        </w:tc>
      </w:tr>
      <w:tr w:rsidR="00291E5E" w:rsidRPr="00291E5E" w14:paraId="3D020699" w14:textId="77777777" w:rsidTr="00455563">
        <w:tc>
          <w:tcPr>
            <w:tcW w:w="2263" w:type="dxa"/>
          </w:tcPr>
          <w:p w14:paraId="3345A680" w14:textId="77777777" w:rsidR="00291E5E" w:rsidRPr="00E80A34" w:rsidRDefault="00291E5E" w:rsidP="00E80A34">
            <w:pPr>
              <w:pStyle w:val="ARTableText"/>
              <w:spacing w:before="120" w:after="120"/>
              <w:rPr>
                <w:b/>
                <w:bCs/>
              </w:rPr>
            </w:pPr>
            <w:r w:rsidRPr="00E80A34">
              <w:rPr>
                <w:b/>
                <w:bCs/>
              </w:rPr>
              <w:t>SMSF</w:t>
            </w:r>
          </w:p>
        </w:tc>
        <w:tc>
          <w:tcPr>
            <w:tcW w:w="6379" w:type="dxa"/>
          </w:tcPr>
          <w:p w14:paraId="12114EA0" w14:textId="6955C46B" w:rsidR="00291E5E" w:rsidRPr="00291E5E" w:rsidRDefault="009B68BF" w:rsidP="00E80A34">
            <w:pPr>
              <w:pStyle w:val="ARTableText"/>
              <w:spacing w:before="120" w:after="120"/>
            </w:pPr>
            <w:r w:rsidRPr="00291E5E">
              <w:t>Self-managed</w:t>
            </w:r>
            <w:r w:rsidR="00291E5E" w:rsidRPr="00291E5E">
              <w:t xml:space="preserve"> superannuation funds</w:t>
            </w:r>
          </w:p>
        </w:tc>
      </w:tr>
      <w:tr w:rsidR="00291E5E" w:rsidRPr="00291E5E" w14:paraId="4DE225B8" w14:textId="77777777" w:rsidTr="00455563">
        <w:tc>
          <w:tcPr>
            <w:tcW w:w="2263" w:type="dxa"/>
          </w:tcPr>
          <w:p w14:paraId="11C3F772" w14:textId="77777777" w:rsidR="00291E5E" w:rsidRPr="00E80A34" w:rsidRDefault="00291E5E" w:rsidP="00E80A34">
            <w:pPr>
              <w:pStyle w:val="ARTableText"/>
              <w:spacing w:before="120" w:after="120"/>
              <w:rPr>
                <w:b/>
                <w:bCs/>
              </w:rPr>
            </w:pPr>
            <w:r w:rsidRPr="00E80A34">
              <w:rPr>
                <w:b/>
                <w:bCs/>
              </w:rPr>
              <w:t>SLA</w:t>
            </w:r>
          </w:p>
        </w:tc>
        <w:tc>
          <w:tcPr>
            <w:tcW w:w="6379" w:type="dxa"/>
          </w:tcPr>
          <w:p w14:paraId="25F89E6B" w14:textId="77777777" w:rsidR="00291E5E" w:rsidRPr="00291E5E" w:rsidRDefault="00291E5E" w:rsidP="00E80A34">
            <w:pPr>
              <w:pStyle w:val="ARTableText"/>
              <w:spacing w:before="120" w:after="120"/>
            </w:pPr>
            <w:r w:rsidRPr="00291E5E">
              <w:t>Service level agreement</w:t>
            </w:r>
          </w:p>
        </w:tc>
      </w:tr>
      <w:tr w:rsidR="00291E5E" w:rsidRPr="00291E5E" w14:paraId="1632889E" w14:textId="77777777" w:rsidTr="00455563">
        <w:tc>
          <w:tcPr>
            <w:tcW w:w="2263" w:type="dxa"/>
          </w:tcPr>
          <w:p w14:paraId="77CDDC2E" w14:textId="77777777" w:rsidR="00291E5E" w:rsidRPr="00E80A34" w:rsidRDefault="00291E5E" w:rsidP="00E80A34">
            <w:pPr>
              <w:pStyle w:val="ARTableText"/>
              <w:spacing w:before="120" w:after="120"/>
              <w:rPr>
                <w:b/>
                <w:bCs/>
              </w:rPr>
            </w:pPr>
            <w:r w:rsidRPr="00E80A34">
              <w:rPr>
                <w:b/>
                <w:bCs/>
              </w:rPr>
              <w:t>SME</w:t>
            </w:r>
          </w:p>
        </w:tc>
        <w:tc>
          <w:tcPr>
            <w:tcW w:w="6379" w:type="dxa"/>
          </w:tcPr>
          <w:p w14:paraId="2F84D6D5" w14:textId="77777777" w:rsidR="00291E5E" w:rsidRPr="00291E5E" w:rsidRDefault="00291E5E" w:rsidP="00E80A34">
            <w:pPr>
              <w:pStyle w:val="ARTableText"/>
              <w:spacing w:before="120" w:after="120"/>
            </w:pPr>
            <w:r w:rsidRPr="00291E5E">
              <w:t>Small to medium enterprise</w:t>
            </w:r>
          </w:p>
        </w:tc>
      </w:tr>
      <w:tr w:rsidR="00291E5E" w:rsidRPr="00291E5E" w14:paraId="704C1A4A" w14:textId="77777777" w:rsidTr="00455563">
        <w:tc>
          <w:tcPr>
            <w:tcW w:w="2263" w:type="dxa"/>
          </w:tcPr>
          <w:p w14:paraId="2BAFC3B5" w14:textId="77777777" w:rsidR="00291E5E" w:rsidRPr="00E80A34" w:rsidRDefault="00291E5E" w:rsidP="00E80A34">
            <w:pPr>
              <w:pStyle w:val="ARTableText"/>
              <w:spacing w:before="120" w:after="120"/>
              <w:rPr>
                <w:b/>
                <w:bCs/>
              </w:rPr>
            </w:pPr>
            <w:r w:rsidRPr="00E80A34">
              <w:rPr>
                <w:b/>
                <w:bCs/>
              </w:rPr>
              <w:t>SCT</w:t>
            </w:r>
          </w:p>
        </w:tc>
        <w:tc>
          <w:tcPr>
            <w:tcW w:w="6379" w:type="dxa"/>
          </w:tcPr>
          <w:p w14:paraId="10F3B3F9" w14:textId="77777777" w:rsidR="00291E5E" w:rsidRPr="00291E5E" w:rsidRDefault="00291E5E" w:rsidP="00E80A34">
            <w:pPr>
              <w:pStyle w:val="ARTableText"/>
              <w:spacing w:before="120" w:after="120"/>
            </w:pPr>
            <w:r w:rsidRPr="00291E5E">
              <w:t>Superannuation Complaints Tribunal</w:t>
            </w:r>
          </w:p>
        </w:tc>
      </w:tr>
      <w:tr w:rsidR="00291E5E" w:rsidRPr="00291E5E" w14:paraId="4B5043B5" w14:textId="77777777" w:rsidTr="00455563">
        <w:tc>
          <w:tcPr>
            <w:tcW w:w="2263" w:type="dxa"/>
          </w:tcPr>
          <w:p w14:paraId="329989FC" w14:textId="77777777" w:rsidR="00291E5E" w:rsidRPr="00E80A34" w:rsidRDefault="00291E5E" w:rsidP="00E80A34">
            <w:pPr>
              <w:pStyle w:val="ARTableText"/>
              <w:spacing w:before="120" w:after="120"/>
              <w:rPr>
                <w:b/>
                <w:bCs/>
              </w:rPr>
            </w:pPr>
            <w:r w:rsidRPr="00E80A34">
              <w:rPr>
                <w:b/>
                <w:bCs/>
              </w:rPr>
              <w:t xml:space="preserve">SRC Act </w:t>
            </w:r>
          </w:p>
        </w:tc>
        <w:tc>
          <w:tcPr>
            <w:tcW w:w="6379" w:type="dxa"/>
          </w:tcPr>
          <w:p w14:paraId="474F6130" w14:textId="77777777" w:rsidR="00291E5E" w:rsidRPr="00E80A34" w:rsidRDefault="00291E5E" w:rsidP="00E80A34">
            <w:pPr>
              <w:pStyle w:val="ARTableText"/>
              <w:spacing w:before="120" w:after="120"/>
              <w:rPr>
                <w:i/>
                <w:iCs/>
              </w:rPr>
            </w:pPr>
            <w:r w:rsidRPr="00E80A34">
              <w:rPr>
                <w:i/>
                <w:iCs/>
              </w:rPr>
              <w:t>Superannuation (Resolution of Complaints) Act 1993</w:t>
            </w:r>
          </w:p>
        </w:tc>
      </w:tr>
      <w:tr w:rsidR="00291E5E" w:rsidRPr="00291E5E" w14:paraId="248C009F" w14:textId="77777777" w:rsidTr="008D2ADF">
        <w:tc>
          <w:tcPr>
            <w:tcW w:w="2263" w:type="dxa"/>
          </w:tcPr>
          <w:p w14:paraId="6142455A" w14:textId="77777777" w:rsidR="00291E5E" w:rsidRPr="00E80A34" w:rsidRDefault="00291E5E" w:rsidP="00E80A34">
            <w:pPr>
              <w:pStyle w:val="ARTableText"/>
              <w:spacing w:before="120" w:after="120"/>
              <w:rPr>
                <w:b/>
                <w:bCs/>
              </w:rPr>
            </w:pPr>
            <w:r w:rsidRPr="00E80A34">
              <w:rPr>
                <w:b/>
                <w:bCs/>
              </w:rPr>
              <w:t>SIS Act</w:t>
            </w:r>
          </w:p>
        </w:tc>
        <w:tc>
          <w:tcPr>
            <w:tcW w:w="6379" w:type="dxa"/>
          </w:tcPr>
          <w:p w14:paraId="466B7C4A" w14:textId="77777777" w:rsidR="00291E5E" w:rsidRPr="00E80A34" w:rsidRDefault="00291E5E" w:rsidP="00E80A34">
            <w:pPr>
              <w:pStyle w:val="ARTableText"/>
              <w:spacing w:before="120" w:after="120"/>
              <w:rPr>
                <w:i/>
                <w:iCs/>
              </w:rPr>
            </w:pPr>
            <w:r w:rsidRPr="00E80A34">
              <w:rPr>
                <w:i/>
                <w:iCs/>
              </w:rPr>
              <w:t>Superannuation Industry (Supervision) Act 1993</w:t>
            </w:r>
          </w:p>
        </w:tc>
      </w:tr>
      <w:tr w:rsidR="00291E5E" w:rsidRPr="00291E5E" w14:paraId="0E54FDC3" w14:textId="77777777" w:rsidTr="008D2ADF">
        <w:tc>
          <w:tcPr>
            <w:tcW w:w="2263" w:type="dxa"/>
            <w:tcBorders>
              <w:bottom w:val="single" w:sz="4" w:space="0" w:color="auto"/>
            </w:tcBorders>
          </w:tcPr>
          <w:p w14:paraId="2A009028" w14:textId="77777777" w:rsidR="00291E5E" w:rsidRPr="00E80A34" w:rsidRDefault="00291E5E" w:rsidP="00E80A34">
            <w:pPr>
              <w:pStyle w:val="ARTableText"/>
              <w:spacing w:before="120" w:after="120"/>
              <w:rPr>
                <w:b/>
                <w:bCs/>
              </w:rPr>
            </w:pPr>
            <w:r w:rsidRPr="00E80A34">
              <w:rPr>
                <w:b/>
                <w:bCs/>
              </w:rPr>
              <w:t xml:space="preserve">TPD </w:t>
            </w:r>
          </w:p>
        </w:tc>
        <w:tc>
          <w:tcPr>
            <w:tcW w:w="6379" w:type="dxa"/>
            <w:tcBorders>
              <w:bottom w:val="single" w:sz="4" w:space="0" w:color="auto"/>
            </w:tcBorders>
          </w:tcPr>
          <w:p w14:paraId="72A71170" w14:textId="77777777" w:rsidR="00291E5E" w:rsidRPr="00291E5E" w:rsidRDefault="00291E5E" w:rsidP="00E80A34">
            <w:pPr>
              <w:pStyle w:val="ARTableText"/>
              <w:spacing w:before="120" w:after="120"/>
            </w:pPr>
            <w:r w:rsidRPr="00291E5E">
              <w:t>Total and permanent disablement/disability</w:t>
            </w:r>
          </w:p>
        </w:tc>
      </w:tr>
    </w:tbl>
    <w:p w14:paraId="4EBD66C5" w14:textId="77777777" w:rsidR="0004279D" w:rsidRDefault="0004279D" w:rsidP="00B12301"/>
    <w:sectPr w:rsidR="0004279D" w:rsidSect="000E5EC2">
      <w:footerReference w:type="even" r:id="rId27"/>
      <w:footerReference w:type="default" r:id="rId28"/>
      <w:footerReference w:type="first" r:id="rId29"/>
      <w:type w:val="oddPage"/>
      <w:pgSz w:w="11906" w:h="16838"/>
      <w:pgMar w:top="2041" w:right="1440" w:bottom="1701"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1AD3" w14:textId="77777777" w:rsidR="0072314C" w:rsidRDefault="0072314C" w:rsidP="00C41C5E">
      <w:pPr>
        <w:spacing w:before="0" w:after="0"/>
      </w:pPr>
      <w:r>
        <w:separator/>
      </w:r>
    </w:p>
  </w:endnote>
  <w:endnote w:type="continuationSeparator" w:id="0">
    <w:p w14:paraId="3A18D76A" w14:textId="77777777" w:rsidR="0072314C" w:rsidRDefault="0072314C" w:rsidP="00C41C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55 Roman">
    <w:altName w:val="Cambria"/>
    <w:panose1 w:val="00000000000000000000"/>
    <w:charset w:val="00"/>
    <w:family w:val="swiss"/>
    <w:notTrueType/>
    <w:pitch w:val="default"/>
    <w:sig w:usb0="00000003" w:usb1="00000000" w:usb2="00000000" w:usb3="00000000" w:csb0="00000001" w:csb1="00000000"/>
  </w:font>
  <w:font w:name="Aveni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65 Medium">
    <w:altName w:val="Calibri"/>
    <w:panose1 w:val="00000000000000000000"/>
    <w:charset w:val="00"/>
    <w:family w:val="swiss"/>
    <w:notTrueType/>
    <w:pitch w:val="default"/>
    <w:sig w:usb0="00000003" w:usb1="00000000" w:usb2="00000000" w:usb3="00000000" w:csb0="00000001" w:csb1="00000000"/>
  </w:font>
  <w:font w:name="Avenir Book">
    <w:altName w:val="Tw Cen MT"/>
    <w:panose1 w:val="00000000000000000000"/>
    <w:charset w:val="00"/>
    <w:family w:val="swiss"/>
    <w:notTrueType/>
    <w:pitch w:val="default"/>
    <w:sig w:usb0="00000003" w:usb1="00000000" w:usb2="00000000" w:usb3="00000000" w:csb0="00000001" w:csb1="00000000"/>
  </w:font>
  <w:font w:name="Avenir LT Std 55 Roman">
    <w:altName w:val="Calibri"/>
    <w:panose1 w:val="00000000000000000000"/>
    <w:charset w:val="00"/>
    <w:family w:val="swiss"/>
    <w:notTrueType/>
    <w:pitch w:val="variable"/>
    <w:sig w:usb0="00000003" w:usb1="00000000" w:usb2="00000000" w:usb3="00000000" w:csb0="00000001" w:csb1="00000000"/>
  </w:font>
  <w:font w:name="Avenir Heavy">
    <w:altName w:val="Yu Gothic"/>
    <w:panose1 w:val="00000000000000000000"/>
    <w:charset w:val="00"/>
    <w:family w:val="swiss"/>
    <w:notTrueType/>
    <w:pitch w:val="default"/>
    <w:sig w:usb0="00000003" w:usb1="00000000" w:usb2="00000000" w:usb3="00000000" w:csb0="00000001"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altName w:val="Arial"/>
    <w:charset w:val="00"/>
    <w:family w:val="auto"/>
    <w:pitch w:val="variable"/>
    <w:sig w:usb0="E0002AFF" w:usb1="C0007843" w:usb2="00000009" w:usb3="00000000" w:csb0="000001FF" w:csb1="00000000"/>
  </w:font>
  <w:font w:name="Avenir Light">
    <w:altName w:val="Calibri"/>
    <w:panose1 w:val="00000000000000000000"/>
    <w:charset w:val="00"/>
    <w:family w:val="swiss"/>
    <w:notTrueType/>
    <w:pitch w:val="default"/>
    <w:sig w:usb0="00000003" w:usb1="08070000" w:usb2="00000010" w:usb3="00000000" w:csb0="00020001" w:csb1="00000000"/>
  </w:font>
  <w:font w:name="Noyh Geometric SemiLight">
    <w:altName w:val="Calibri"/>
    <w:charset w:val="00"/>
    <w:family w:val="auto"/>
    <w:pitch w:val="default"/>
    <w:sig w:usb0="00000003" w:usb1="00000000" w:usb2="00000000" w:usb3="00000000" w:csb0="00000001" w:csb1="00000000"/>
  </w:font>
  <w:font w:name="Noyh Geometric Light">
    <w:altName w:val="Calibri"/>
    <w:panose1 w:val="00000000000000000000"/>
    <w:charset w:val="00"/>
    <w:family w:val="swiss"/>
    <w:notTrueType/>
    <w:pitch w:val="default"/>
    <w:sig w:usb0="00000003" w:usb1="00000000" w:usb2="00000000" w:usb3="00000000" w:csb0="00000001" w:csb1="00000000"/>
  </w:font>
  <w:font w:name="Swiss721BT-Light">
    <w:altName w:val="Times New Roman"/>
    <w:charset w:val="00"/>
    <w:family w:val="auto"/>
    <w:pitch w:val="default"/>
  </w:font>
  <w:font w:name="Helvetica 55 Roman">
    <w:altName w:val="Arial"/>
    <w:panose1 w:val="00000000000000000000"/>
    <w:charset w:val="00"/>
    <w:family w:val="roman"/>
    <w:notTrueType/>
    <w:pitch w:val="default"/>
    <w:sig w:usb0="00000003" w:usb1="00000000" w:usb2="00000000" w:usb3="00000000" w:csb0="00000001" w:csb1="00000000"/>
  </w:font>
  <w:font w:name="Noyh Geometric Regular">
    <w:altName w:val="Calibri"/>
    <w:panose1 w:val="00000000000000000000"/>
    <w:charset w:val="00"/>
    <w:family w:val="swiss"/>
    <w:notTrueType/>
    <w:pitch w:val="default"/>
    <w:sig w:usb0="00000003" w:usb1="00000000" w:usb2="00000000" w:usb3="00000000" w:csb0="00000001" w:csb1="00000000"/>
  </w:font>
  <w:font w:name="Noyh Geometric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4935" w14:textId="3223832F" w:rsidR="0072314C" w:rsidRDefault="0072314C">
    <w:pPr>
      <w:pStyle w:val="Footer"/>
    </w:pPr>
    <w:r w:rsidRPr="0050078B">
      <w:rPr>
        <w:b/>
        <w:bCs/>
        <w:color w:val="0072CE"/>
        <w:sz w:val="24"/>
        <w:szCs w:val="22"/>
      </w:rPr>
      <w:fldChar w:fldCharType="begin"/>
    </w:r>
    <w:r w:rsidRPr="0050078B">
      <w:rPr>
        <w:b/>
        <w:bCs/>
        <w:color w:val="0072CE"/>
        <w:sz w:val="24"/>
        <w:szCs w:val="22"/>
      </w:rPr>
      <w:instrText xml:space="preserve"> PAGE   \* MERGEFORMAT </w:instrText>
    </w:r>
    <w:r w:rsidRPr="0050078B">
      <w:rPr>
        <w:b/>
        <w:bCs/>
        <w:color w:val="0072CE"/>
        <w:sz w:val="24"/>
        <w:szCs w:val="22"/>
      </w:rPr>
      <w:fldChar w:fldCharType="separate"/>
    </w:r>
    <w:r w:rsidRPr="0050078B">
      <w:rPr>
        <w:b/>
        <w:bCs/>
        <w:noProof/>
        <w:color w:val="0072CE"/>
        <w:sz w:val="24"/>
        <w:szCs w:val="22"/>
      </w:rPr>
      <w:t>1</w:t>
    </w:r>
    <w:r w:rsidRPr="0050078B">
      <w:rPr>
        <w:b/>
        <w:bCs/>
        <w:noProof/>
        <w:color w:val="0072CE"/>
        <w:sz w:val="24"/>
        <w:szCs w:val="22"/>
      </w:rPr>
      <w:fldChar w:fldCharType="end"/>
    </w:r>
    <w:r>
      <w:rPr>
        <w:noProof/>
      </w:rPr>
      <w:t xml:space="preserve">    </w:t>
    </w:r>
    <w:r>
      <w:rPr>
        <w:noProof/>
      </w:rPr>
      <w:fldChar w:fldCharType="begin"/>
    </w:r>
    <w:r>
      <w:rPr>
        <w:noProof/>
      </w:rPr>
      <w:instrText xml:space="preserve"> TITLE   \* MERGEFORMAT </w:instrText>
    </w:r>
    <w:r>
      <w:rPr>
        <w:noProof/>
      </w:rPr>
      <w:fldChar w:fldCharType="separate"/>
    </w:r>
    <w:r w:rsidR="003770EC">
      <w:rPr>
        <w:noProof/>
      </w:rPr>
      <w:t>Superannuation Complaints Tribunal Annual Report 2020–21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9684" w14:textId="357C0CF8" w:rsidR="0072314C" w:rsidRPr="0050078B" w:rsidRDefault="003770EC" w:rsidP="0050078B">
    <w:pPr>
      <w:pStyle w:val="Footer"/>
      <w:jc w:val="right"/>
      <w:rPr>
        <w:b/>
        <w:bCs/>
        <w:color w:val="0072CE"/>
      </w:rPr>
    </w:pPr>
    <w:fldSimple w:instr=" STYLEREF  &quot;AR H1 - Main section heading&quot;  \* MERGEFORMAT ">
      <w:r>
        <w:rPr>
          <w:noProof/>
        </w:rPr>
        <w:t>Contents</w:t>
      </w:r>
    </w:fldSimple>
    <w:r w:rsidR="0072314C">
      <w:rPr>
        <w:color w:val="0072CE"/>
      </w:rPr>
      <w:t xml:space="preserve">    </w:t>
    </w:r>
    <w:r w:rsidR="0072314C" w:rsidRPr="0050078B">
      <w:rPr>
        <w:b/>
        <w:bCs/>
        <w:color w:val="0072CE"/>
        <w:sz w:val="24"/>
        <w:szCs w:val="22"/>
      </w:rPr>
      <w:fldChar w:fldCharType="begin"/>
    </w:r>
    <w:r w:rsidR="0072314C" w:rsidRPr="0050078B">
      <w:rPr>
        <w:b/>
        <w:bCs/>
        <w:color w:val="0072CE"/>
        <w:sz w:val="24"/>
        <w:szCs w:val="22"/>
      </w:rPr>
      <w:instrText xml:space="preserve"> PAGE   \* MERGEFORMAT </w:instrText>
    </w:r>
    <w:r w:rsidR="0072314C" w:rsidRPr="0050078B">
      <w:rPr>
        <w:b/>
        <w:bCs/>
        <w:color w:val="0072CE"/>
        <w:sz w:val="24"/>
        <w:szCs w:val="22"/>
      </w:rPr>
      <w:fldChar w:fldCharType="separate"/>
    </w:r>
    <w:r w:rsidR="0072314C">
      <w:rPr>
        <w:b/>
        <w:bCs/>
        <w:color w:val="0072CE"/>
        <w:sz w:val="24"/>
        <w:szCs w:val="22"/>
      </w:rPr>
      <w:t>5</w:t>
    </w:r>
    <w:r w:rsidR="0072314C" w:rsidRPr="0050078B">
      <w:rPr>
        <w:b/>
        <w:bCs/>
        <w:noProof/>
        <w:color w:val="0072CE"/>
        <w:sz w:val="24"/>
        <w:szCs w:val="22"/>
      </w:rPr>
      <w:fldChar w:fldCharType="end"/>
    </w:r>
    <w:r w:rsidR="0072314C" w:rsidRPr="00C41C5E">
      <w:rPr>
        <w:b/>
        <w:bCs/>
        <w:color w:val="0072C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C61B" w14:textId="2B099738" w:rsidR="0072314C" w:rsidRPr="0050078B" w:rsidRDefault="0072314C" w:rsidP="005007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FD4D" w14:textId="03728827" w:rsidR="0072314C" w:rsidRPr="0050078B" w:rsidRDefault="0072314C" w:rsidP="005007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F4F5" w14:textId="6E125C62" w:rsidR="0072314C" w:rsidRDefault="0072314C">
    <w:pPr>
      <w:pStyle w:val="Footer"/>
    </w:pPr>
    <w:r w:rsidRPr="0050078B">
      <w:rPr>
        <w:b/>
        <w:bCs/>
        <w:color w:val="0072CE"/>
        <w:sz w:val="24"/>
        <w:szCs w:val="22"/>
      </w:rPr>
      <w:fldChar w:fldCharType="begin"/>
    </w:r>
    <w:r w:rsidRPr="0050078B">
      <w:rPr>
        <w:b/>
        <w:bCs/>
        <w:color w:val="0072CE"/>
        <w:sz w:val="24"/>
        <w:szCs w:val="22"/>
      </w:rPr>
      <w:instrText xml:space="preserve"> PAGE   \* MERGEFORMAT </w:instrText>
    </w:r>
    <w:r w:rsidRPr="0050078B">
      <w:rPr>
        <w:b/>
        <w:bCs/>
        <w:color w:val="0072CE"/>
        <w:sz w:val="24"/>
        <w:szCs w:val="22"/>
      </w:rPr>
      <w:fldChar w:fldCharType="separate"/>
    </w:r>
    <w:r w:rsidRPr="0050078B">
      <w:rPr>
        <w:b/>
        <w:bCs/>
        <w:noProof/>
        <w:color w:val="0072CE"/>
        <w:sz w:val="24"/>
        <w:szCs w:val="22"/>
      </w:rPr>
      <w:t>1</w:t>
    </w:r>
    <w:r w:rsidRPr="0050078B">
      <w:rPr>
        <w:b/>
        <w:bCs/>
        <w:noProof/>
        <w:color w:val="0072CE"/>
        <w:sz w:val="24"/>
        <w:szCs w:val="22"/>
      </w:rPr>
      <w:fldChar w:fldCharType="end"/>
    </w:r>
    <w:r>
      <w:rPr>
        <w:noProof/>
      </w:rPr>
      <w:t xml:space="preserve">    </w:t>
    </w:r>
    <w:r>
      <w:rPr>
        <w:noProof/>
      </w:rPr>
      <w:fldChar w:fldCharType="begin"/>
    </w:r>
    <w:r>
      <w:rPr>
        <w:noProof/>
      </w:rPr>
      <w:instrText xml:space="preserve"> TITLE   \* MERGEFORMAT </w:instrText>
    </w:r>
    <w:r>
      <w:rPr>
        <w:noProof/>
      </w:rPr>
      <w:fldChar w:fldCharType="separate"/>
    </w:r>
    <w:r w:rsidR="003770EC">
      <w:rPr>
        <w:noProof/>
      </w:rPr>
      <w:t>Superannuation Complaints Tribunal Annual Report 2020–21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E17E" w14:textId="3C00C306" w:rsidR="0072314C" w:rsidRPr="0050078B" w:rsidRDefault="003770EC" w:rsidP="0050078B">
    <w:pPr>
      <w:pStyle w:val="Footer"/>
      <w:jc w:val="right"/>
      <w:rPr>
        <w:b/>
        <w:bCs/>
        <w:color w:val="0072CE"/>
      </w:rPr>
    </w:pPr>
    <w:fldSimple w:instr=" STYLEREF  &quot;AR H1 - Main section heading&quot;  \* MERGEFORMAT ">
      <w:r w:rsidR="00361237">
        <w:rPr>
          <w:noProof/>
        </w:rPr>
        <w:t>The responsible Minister</w:t>
      </w:r>
    </w:fldSimple>
    <w:r w:rsidR="0072314C">
      <w:rPr>
        <w:color w:val="0072CE"/>
      </w:rPr>
      <w:t xml:space="preserve">    </w:t>
    </w:r>
    <w:r w:rsidR="0072314C" w:rsidRPr="00576557">
      <w:rPr>
        <w:b/>
        <w:bCs/>
        <w:color w:val="0072CE"/>
        <w:sz w:val="24"/>
        <w:szCs w:val="22"/>
      </w:rPr>
      <w:fldChar w:fldCharType="begin"/>
    </w:r>
    <w:r w:rsidR="0072314C" w:rsidRPr="00576557">
      <w:rPr>
        <w:b/>
        <w:bCs/>
        <w:color w:val="0072CE"/>
        <w:sz w:val="24"/>
        <w:szCs w:val="22"/>
      </w:rPr>
      <w:instrText xml:space="preserve"> PAGE   \* MERGEFORMAT </w:instrText>
    </w:r>
    <w:r w:rsidR="0072314C" w:rsidRPr="00576557">
      <w:rPr>
        <w:b/>
        <w:bCs/>
        <w:color w:val="0072CE"/>
        <w:sz w:val="24"/>
        <w:szCs w:val="22"/>
      </w:rPr>
      <w:fldChar w:fldCharType="separate"/>
    </w:r>
    <w:r w:rsidR="0072314C" w:rsidRPr="00576557">
      <w:rPr>
        <w:b/>
        <w:bCs/>
        <w:noProof/>
        <w:color w:val="0072CE"/>
        <w:sz w:val="24"/>
        <w:szCs w:val="22"/>
      </w:rPr>
      <w:t>1</w:t>
    </w:r>
    <w:r w:rsidR="0072314C" w:rsidRPr="00576557">
      <w:rPr>
        <w:b/>
        <w:bCs/>
        <w:noProof/>
        <w:color w:val="0072CE"/>
        <w:sz w:val="24"/>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B601" w14:textId="300D79B3" w:rsidR="0072314C" w:rsidRPr="00C41C5E" w:rsidRDefault="003770EC" w:rsidP="00C41C5E">
    <w:pPr>
      <w:pStyle w:val="Footer"/>
      <w:jc w:val="right"/>
      <w:rPr>
        <w:b/>
        <w:bCs/>
        <w:color w:val="0072CE"/>
      </w:rPr>
    </w:pPr>
    <w:fldSimple w:instr=" STYLEREF  &quot;AR H1 - Main section heading&quot;  \* MERGEFORMAT ">
      <w:r w:rsidR="00361237">
        <w:rPr>
          <w:noProof/>
        </w:rPr>
        <w:t>Superannuation Complaints Tribunal report</w:t>
      </w:r>
    </w:fldSimple>
    <w:r w:rsidR="0072314C">
      <w:rPr>
        <w:color w:val="0072CE"/>
      </w:rPr>
      <w:t xml:space="preserve">    </w:t>
    </w:r>
    <w:r w:rsidR="0072314C" w:rsidRPr="0050078B">
      <w:rPr>
        <w:b/>
        <w:bCs/>
        <w:color w:val="0072CE"/>
        <w:sz w:val="24"/>
        <w:szCs w:val="22"/>
      </w:rPr>
      <w:fldChar w:fldCharType="begin"/>
    </w:r>
    <w:r w:rsidR="0072314C" w:rsidRPr="0050078B">
      <w:rPr>
        <w:b/>
        <w:bCs/>
        <w:color w:val="0072CE"/>
        <w:sz w:val="24"/>
        <w:szCs w:val="22"/>
      </w:rPr>
      <w:instrText xml:space="preserve"> PAGE   \* MERGEFORMAT </w:instrText>
    </w:r>
    <w:r w:rsidR="0072314C" w:rsidRPr="0050078B">
      <w:rPr>
        <w:b/>
        <w:bCs/>
        <w:color w:val="0072CE"/>
        <w:sz w:val="24"/>
        <w:szCs w:val="22"/>
      </w:rPr>
      <w:fldChar w:fldCharType="separate"/>
    </w:r>
    <w:r w:rsidR="0072314C" w:rsidRPr="0050078B">
      <w:rPr>
        <w:b/>
        <w:bCs/>
        <w:noProof/>
        <w:color w:val="0072CE"/>
        <w:sz w:val="24"/>
        <w:szCs w:val="22"/>
      </w:rPr>
      <w:t>1</w:t>
    </w:r>
    <w:r w:rsidR="0072314C" w:rsidRPr="0050078B">
      <w:rPr>
        <w:b/>
        <w:bCs/>
        <w:noProof/>
        <w:color w:val="0072CE"/>
        <w:sz w:val="24"/>
        <w:szCs w:val="22"/>
      </w:rPr>
      <w:fldChar w:fldCharType="end"/>
    </w:r>
    <w:r w:rsidR="0072314C" w:rsidRPr="00C41C5E">
      <w:rPr>
        <w:b/>
        <w:bCs/>
        <w:color w:val="0072C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F6CC" w14:textId="77777777" w:rsidR="0072314C" w:rsidRDefault="0072314C" w:rsidP="00C41C5E">
      <w:pPr>
        <w:spacing w:before="0" w:after="0"/>
      </w:pPr>
      <w:r>
        <w:separator/>
      </w:r>
    </w:p>
  </w:footnote>
  <w:footnote w:type="continuationSeparator" w:id="0">
    <w:p w14:paraId="6B18A83D" w14:textId="77777777" w:rsidR="0072314C" w:rsidRDefault="0072314C" w:rsidP="00C41C5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9AE1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B1193"/>
    <w:multiLevelType w:val="hybridMultilevel"/>
    <w:tmpl w:val="3A2AAF96"/>
    <w:lvl w:ilvl="0" w:tplc="BB646B4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F008AA"/>
    <w:multiLevelType w:val="hybridMultilevel"/>
    <w:tmpl w:val="3D5C6B54"/>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C0A97"/>
    <w:multiLevelType w:val="hybridMultilevel"/>
    <w:tmpl w:val="E27C294E"/>
    <w:lvl w:ilvl="0" w:tplc="7568B7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7D629FB"/>
    <w:multiLevelType w:val="hybridMultilevel"/>
    <w:tmpl w:val="8016593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1B4F4B6E"/>
    <w:multiLevelType w:val="multilevel"/>
    <w:tmpl w:val="736C65C8"/>
    <w:lvl w:ilvl="0">
      <w:start w:val="1"/>
      <w:numFmt w:val="decimal"/>
      <w:pStyle w:val="ARNumberedList"/>
      <w:lvlText w:val="%1."/>
      <w:lvlJc w:val="left"/>
      <w:pPr>
        <w:tabs>
          <w:tab w:val="num" w:pos="284"/>
        </w:tabs>
        <w:ind w:left="284" w:hanging="284"/>
      </w:pPr>
      <w:rPr>
        <w:rFonts w:hint="default"/>
        <w:color w:val="0072CE"/>
      </w:rPr>
    </w:lvl>
    <w:lvl w:ilvl="1">
      <w:start w:val="1"/>
      <w:numFmt w:val="bullet"/>
      <w:lvlText w:val="–"/>
      <w:lvlJc w:val="left"/>
      <w:pPr>
        <w:tabs>
          <w:tab w:val="num" w:pos="567"/>
        </w:tabs>
        <w:ind w:left="568" w:hanging="284"/>
      </w:pPr>
      <w:rPr>
        <w:rFonts w:ascii="Times New Roman" w:hAnsi="Times New Roman" w:cs="Times New Roman" w:hint="default"/>
        <w:color w:val="0072CE"/>
      </w:rPr>
    </w:lvl>
    <w:lvl w:ilvl="2">
      <w:start w:val="1"/>
      <w:numFmt w:val="bullet"/>
      <w:lvlText w:val=""/>
      <w:lvlJc w:val="left"/>
      <w:pPr>
        <w:tabs>
          <w:tab w:val="num" w:pos="2269"/>
        </w:tabs>
        <w:ind w:left="852" w:hanging="284"/>
      </w:pPr>
      <w:rPr>
        <w:rFonts w:ascii="Wingdings" w:hAnsi="Wingdings" w:hint="default"/>
      </w:rPr>
    </w:lvl>
    <w:lvl w:ilvl="3">
      <w:start w:val="1"/>
      <w:numFmt w:val="bullet"/>
      <w:lvlText w:val=""/>
      <w:lvlJc w:val="left"/>
      <w:pPr>
        <w:tabs>
          <w:tab w:val="num" w:pos="2553"/>
        </w:tabs>
        <w:ind w:left="1136" w:hanging="284"/>
      </w:pPr>
      <w:rPr>
        <w:rFonts w:ascii="Symbol" w:hAnsi="Symbol" w:hint="default"/>
      </w:rPr>
    </w:lvl>
    <w:lvl w:ilvl="4">
      <w:start w:val="1"/>
      <w:numFmt w:val="bullet"/>
      <w:lvlText w:val="o"/>
      <w:lvlJc w:val="left"/>
      <w:pPr>
        <w:tabs>
          <w:tab w:val="num" w:pos="2837"/>
        </w:tabs>
        <w:ind w:left="1420" w:hanging="284"/>
      </w:pPr>
      <w:rPr>
        <w:rFonts w:ascii="Courier New" w:hAnsi="Courier New" w:cs="Courier New" w:hint="default"/>
      </w:rPr>
    </w:lvl>
    <w:lvl w:ilvl="5">
      <w:start w:val="1"/>
      <w:numFmt w:val="bullet"/>
      <w:lvlText w:val=""/>
      <w:lvlJc w:val="left"/>
      <w:pPr>
        <w:tabs>
          <w:tab w:val="num" w:pos="3121"/>
        </w:tabs>
        <w:ind w:left="1704" w:hanging="284"/>
      </w:pPr>
      <w:rPr>
        <w:rFonts w:ascii="Wingdings" w:hAnsi="Wingdings" w:hint="default"/>
      </w:rPr>
    </w:lvl>
    <w:lvl w:ilvl="6">
      <w:start w:val="1"/>
      <w:numFmt w:val="bullet"/>
      <w:lvlText w:val=""/>
      <w:lvlJc w:val="left"/>
      <w:pPr>
        <w:tabs>
          <w:tab w:val="num" w:pos="3405"/>
        </w:tabs>
        <w:ind w:left="1988" w:hanging="284"/>
      </w:pPr>
      <w:rPr>
        <w:rFonts w:ascii="Symbol" w:hAnsi="Symbol" w:hint="default"/>
      </w:rPr>
    </w:lvl>
    <w:lvl w:ilvl="7">
      <w:start w:val="1"/>
      <w:numFmt w:val="bullet"/>
      <w:lvlText w:val="o"/>
      <w:lvlJc w:val="left"/>
      <w:pPr>
        <w:tabs>
          <w:tab w:val="num" w:pos="3689"/>
        </w:tabs>
        <w:ind w:left="2272" w:hanging="284"/>
      </w:pPr>
      <w:rPr>
        <w:rFonts w:ascii="Courier New" w:hAnsi="Courier New" w:cs="Courier New" w:hint="default"/>
      </w:rPr>
    </w:lvl>
    <w:lvl w:ilvl="8">
      <w:start w:val="1"/>
      <w:numFmt w:val="bullet"/>
      <w:lvlText w:val=""/>
      <w:lvlJc w:val="left"/>
      <w:pPr>
        <w:tabs>
          <w:tab w:val="num" w:pos="3973"/>
        </w:tabs>
        <w:ind w:left="2556" w:hanging="284"/>
      </w:pPr>
      <w:rPr>
        <w:rFonts w:ascii="Wingdings" w:hAnsi="Wingdings" w:hint="default"/>
      </w:rPr>
    </w:lvl>
  </w:abstractNum>
  <w:abstractNum w:abstractNumId="7" w15:restartNumberingAfterBreak="0">
    <w:nsid w:val="21365375"/>
    <w:multiLevelType w:val="multilevel"/>
    <w:tmpl w:val="629C583E"/>
    <w:lvl w:ilvl="0">
      <w:start w:val="1"/>
      <w:numFmt w:val="decimal"/>
      <w:lvlText w:val="%1."/>
      <w:lvlJc w:val="left"/>
      <w:pPr>
        <w:ind w:left="644" w:hanging="360"/>
      </w:pPr>
      <w:rPr>
        <w:rFonts w:hint="default"/>
        <w:sz w:val="48"/>
        <w:szCs w:val="4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851"/>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8" w15:restartNumberingAfterBreak="0">
    <w:nsid w:val="25392F8B"/>
    <w:multiLevelType w:val="hybridMultilevel"/>
    <w:tmpl w:val="4D1E06CC"/>
    <w:lvl w:ilvl="0" w:tplc="2F9019A0">
      <w:start w:val="1"/>
      <w:numFmt w:val="decimal"/>
      <w:pStyle w:val="App4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9E61921"/>
    <w:multiLevelType w:val="hybridMultilevel"/>
    <w:tmpl w:val="9B1ACEE4"/>
    <w:lvl w:ilvl="0" w:tplc="40C2E8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B5512FD"/>
    <w:multiLevelType w:val="hybridMultilevel"/>
    <w:tmpl w:val="4AE80E5E"/>
    <w:lvl w:ilvl="0" w:tplc="73445536">
      <w:start w:val="1"/>
      <w:numFmt w:val="bullet"/>
      <w:pStyle w:val="Introbullets"/>
      <w:lvlText w:val=""/>
      <w:lvlJc w:val="left"/>
      <w:pPr>
        <w:ind w:left="6" w:hanging="360"/>
      </w:pPr>
      <w:rPr>
        <w:rFonts w:ascii="Symbol" w:hAnsi="Symbol" w:hint="default"/>
        <w:color w:val="2D8692"/>
        <w:sz w:val="16"/>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1" w15:restartNumberingAfterBreak="0">
    <w:nsid w:val="2C0F096E"/>
    <w:multiLevelType w:val="hybridMultilevel"/>
    <w:tmpl w:val="EB628C1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A3E79"/>
    <w:multiLevelType w:val="hybridMultilevel"/>
    <w:tmpl w:val="79E0F482"/>
    <w:lvl w:ilvl="0" w:tplc="A002138E">
      <w:start w:val="1"/>
      <w:numFmt w:val="bullet"/>
      <w:pStyle w:val="ARBulletListL1"/>
      <w:lvlText w:val=""/>
      <w:lvlJc w:val="left"/>
      <w:pPr>
        <w:ind w:left="720" w:hanging="360"/>
      </w:pPr>
      <w:rPr>
        <w:rFonts w:ascii="Symbol" w:hAnsi="Symbol" w:hint="default"/>
        <w:color w:val="0072C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0465D0"/>
    <w:multiLevelType w:val="multilevel"/>
    <w:tmpl w:val="BC9EA87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1838C7"/>
    <w:multiLevelType w:val="hybridMultilevel"/>
    <w:tmpl w:val="D554AE32"/>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464B7BC5"/>
    <w:multiLevelType w:val="hybridMultilevel"/>
    <w:tmpl w:val="18A4CD00"/>
    <w:lvl w:ilvl="0" w:tplc="9AFC4710">
      <w:start w:val="1"/>
      <w:numFmt w:val="bullet"/>
      <w:pStyle w:val="ARTableBullet"/>
      <w:lvlText w:val=""/>
      <w:lvlJc w:val="left"/>
      <w:pPr>
        <w:ind w:left="720" w:hanging="360"/>
      </w:pPr>
      <w:rPr>
        <w:rFonts w:ascii="Symbol" w:hAnsi="Symbol" w:hint="default"/>
        <w:color w:val="0072C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B3316B"/>
    <w:multiLevelType w:val="hybridMultilevel"/>
    <w:tmpl w:val="4850A68E"/>
    <w:lvl w:ilvl="0" w:tplc="B97C48BA">
      <w:start w:val="1"/>
      <w:numFmt w:val="decimal"/>
      <w:pStyle w:val="ListPara1"/>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B91FEF"/>
    <w:multiLevelType w:val="hybridMultilevel"/>
    <w:tmpl w:val="933CE4AC"/>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5BEF304E"/>
    <w:multiLevelType w:val="hybridMultilevel"/>
    <w:tmpl w:val="CB565894"/>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618E5487"/>
    <w:multiLevelType w:val="hybridMultilevel"/>
    <w:tmpl w:val="C34A968A"/>
    <w:lvl w:ilvl="0" w:tplc="5C349084">
      <w:start w:val="1"/>
      <w:numFmt w:val="bullet"/>
      <w:pStyle w:val="Bullets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B2A0240"/>
    <w:multiLevelType w:val="hybridMultilevel"/>
    <w:tmpl w:val="AE2C7404"/>
    <w:lvl w:ilvl="0" w:tplc="42B232E2">
      <w:start w:val="1"/>
      <w:numFmt w:val="lowerLetter"/>
      <w:pStyle w:val="App43"/>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6EA4583E"/>
    <w:multiLevelType w:val="hybridMultilevel"/>
    <w:tmpl w:val="31BA01A6"/>
    <w:lvl w:ilvl="0" w:tplc="AD36668A">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8983003"/>
    <w:multiLevelType w:val="hybridMultilevel"/>
    <w:tmpl w:val="33AE03D4"/>
    <w:lvl w:ilvl="0" w:tplc="179E50FA">
      <w:start w:val="1"/>
      <w:numFmt w:val="bullet"/>
      <w:pStyle w:val="ListParagraph"/>
      <w:lvlText w:val=""/>
      <w:lvlJc w:val="left"/>
      <w:pPr>
        <w:ind w:left="720" w:hanging="360"/>
      </w:pPr>
      <w:rPr>
        <w:rFonts w:ascii="Symbol" w:hAnsi="Symbol" w:hint="default"/>
        <w:color w:val="17819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853D92"/>
    <w:multiLevelType w:val="hybridMultilevel"/>
    <w:tmpl w:val="7F0EC6F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0"/>
  </w:num>
  <w:num w:numId="2">
    <w:abstractNumId w:val="23"/>
  </w:num>
  <w:num w:numId="3">
    <w:abstractNumId w:val="10"/>
  </w:num>
  <w:num w:numId="4">
    <w:abstractNumId w:val="17"/>
  </w:num>
  <w:num w:numId="5">
    <w:abstractNumId w:val="12"/>
  </w:num>
  <w:num w:numId="6">
    <w:abstractNumId w:val="3"/>
  </w:num>
  <w:num w:numId="7">
    <w:abstractNumId w:val="20"/>
  </w:num>
  <w:num w:numId="8">
    <w:abstractNumId w:val="7"/>
  </w:num>
  <w:num w:numId="9">
    <w:abstractNumId w:val="6"/>
  </w:num>
  <w:num w:numId="10">
    <w:abstractNumId w:val="16"/>
  </w:num>
  <w:num w:numId="11">
    <w:abstractNumId w:val="13"/>
  </w:num>
  <w:num w:numId="12">
    <w:abstractNumId w:val="14"/>
  </w:num>
  <w:num w:numId="13">
    <w:abstractNumId w:val="9"/>
  </w:num>
  <w:num w:numId="14">
    <w:abstractNumId w:val="1"/>
  </w:num>
  <w:num w:numId="15">
    <w:abstractNumId w:val="22"/>
  </w:num>
  <w:num w:numId="16">
    <w:abstractNumId w:val="4"/>
  </w:num>
  <w:num w:numId="17">
    <w:abstractNumId w:val="8"/>
  </w:num>
  <w:num w:numId="18">
    <w:abstractNumId w:val="21"/>
  </w:num>
  <w:num w:numId="19">
    <w:abstractNumId w:val="5"/>
  </w:num>
  <w:num w:numId="20">
    <w:abstractNumId w:val="15"/>
  </w:num>
  <w:num w:numId="21">
    <w:abstractNumId w:val="19"/>
  </w:num>
  <w:num w:numId="22">
    <w:abstractNumId w:val="2"/>
  </w:num>
  <w:num w:numId="23">
    <w:abstractNumId w:val="24"/>
  </w:num>
  <w:num w:numId="24">
    <w:abstractNumId w:val="11"/>
  </w:num>
  <w:num w:numId="25">
    <w:abstractNumId w:val="18"/>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21"/>
    <w:lvlOverride w:ilvl="0">
      <w:startOverride w:val="1"/>
    </w:lvlOverride>
  </w:num>
  <w:num w:numId="30">
    <w:abstractNumId w:val="21"/>
    <w:lvlOverride w:ilvl="0">
      <w:startOverride w:val="1"/>
    </w:lvlOverride>
  </w:num>
  <w:num w:numId="31">
    <w:abstractNumId w:val="21"/>
    <w:lvlOverride w:ilvl="0">
      <w:startOverride w:val="1"/>
    </w:lvlOverride>
  </w:num>
  <w:num w:numId="32">
    <w:abstractNumId w:val="21"/>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5E"/>
    <w:rsid w:val="00005ABF"/>
    <w:rsid w:val="0004279D"/>
    <w:rsid w:val="00077139"/>
    <w:rsid w:val="00090CD5"/>
    <w:rsid w:val="000C2EF7"/>
    <w:rsid w:val="000E5EC2"/>
    <w:rsid w:val="000E6790"/>
    <w:rsid w:val="001142F2"/>
    <w:rsid w:val="00136922"/>
    <w:rsid w:val="00174C2B"/>
    <w:rsid w:val="00181552"/>
    <w:rsid w:val="00195FFF"/>
    <w:rsid w:val="002139A7"/>
    <w:rsid w:val="00214F13"/>
    <w:rsid w:val="00224131"/>
    <w:rsid w:val="002440E8"/>
    <w:rsid w:val="00291E5E"/>
    <w:rsid w:val="002F7E97"/>
    <w:rsid w:val="00361237"/>
    <w:rsid w:val="003770EC"/>
    <w:rsid w:val="003D2A3C"/>
    <w:rsid w:val="004058F3"/>
    <w:rsid w:val="004539BF"/>
    <w:rsid w:val="00455563"/>
    <w:rsid w:val="004C7752"/>
    <w:rsid w:val="0050078B"/>
    <w:rsid w:val="00522E4A"/>
    <w:rsid w:val="00547421"/>
    <w:rsid w:val="00576557"/>
    <w:rsid w:val="005C627F"/>
    <w:rsid w:val="005D6B49"/>
    <w:rsid w:val="00655D43"/>
    <w:rsid w:val="00690525"/>
    <w:rsid w:val="0072314C"/>
    <w:rsid w:val="007B773D"/>
    <w:rsid w:val="00845B7F"/>
    <w:rsid w:val="0085190B"/>
    <w:rsid w:val="008D2ADF"/>
    <w:rsid w:val="008E15C1"/>
    <w:rsid w:val="008F65C6"/>
    <w:rsid w:val="009105C2"/>
    <w:rsid w:val="00917478"/>
    <w:rsid w:val="0092211F"/>
    <w:rsid w:val="009B68BF"/>
    <w:rsid w:val="009D05E4"/>
    <w:rsid w:val="00A019CB"/>
    <w:rsid w:val="00A80785"/>
    <w:rsid w:val="00B12301"/>
    <w:rsid w:val="00B16321"/>
    <w:rsid w:val="00B369CB"/>
    <w:rsid w:val="00B37C13"/>
    <w:rsid w:val="00B9467A"/>
    <w:rsid w:val="00BA3513"/>
    <w:rsid w:val="00BE3BB7"/>
    <w:rsid w:val="00C278F5"/>
    <w:rsid w:val="00C33941"/>
    <w:rsid w:val="00C3763C"/>
    <w:rsid w:val="00C41C5E"/>
    <w:rsid w:val="00CB6E9E"/>
    <w:rsid w:val="00CC1297"/>
    <w:rsid w:val="00CD2A3C"/>
    <w:rsid w:val="00CE2C01"/>
    <w:rsid w:val="00D317FD"/>
    <w:rsid w:val="00D579F2"/>
    <w:rsid w:val="00D6436E"/>
    <w:rsid w:val="00D72FD1"/>
    <w:rsid w:val="00DB3550"/>
    <w:rsid w:val="00DB7CA5"/>
    <w:rsid w:val="00DC08D8"/>
    <w:rsid w:val="00DD434D"/>
    <w:rsid w:val="00E80A34"/>
    <w:rsid w:val="00E8733D"/>
    <w:rsid w:val="00EB5AF9"/>
    <w:rsid w:val="00EC229B"/>
    <w:rsid w:val="00EC3770"/>
    <w:rsid w:val="00F74E04"/>
    <w:rsid w:val="00FD6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6DBF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301"/>
    <w:pPr>
      <w:spacing w:before="240" w:after="240" w:line="240" w:lineRule="auto"/>
    </w:pPr>
    <w:rPr>
      <w:rFonts w:ascii="Century Gothic" w:hAnsi="Century Gothic"/>
      <w:sz w:val="20"/>
      <w:szCs w:val="18"/>
    </w:rPr>
  </w:style>
  <w:style w:type="paragraph" w:styleId="Heading1">
    <w:name w:val="heading 1"/>
    <w:aliases w:val="Case Study"/>
    <w:basedOn w:val="Normal"/>
    <w:next w:val="Normal"/>
    <w:link w:val="Heading1Char"/>
    <w:uiPriority w:val="9"/>
    <w:qFormat/>
    <w:rsid w:val="00291E5E"/>
    <w:pPr>
      <w:keepNext/>
      <w:keepLines/>
      <w:spacing w:after="0"/>
      <w:outlineLvl w:val="0"/>
    </w:pPr>
    <w:rPr>
      <w:rFonts w:eastAsiaTheme="majorEastAsia" w:cstheme="majorBidi"/>
      <w:b/>
      <w:i/>
      <w:color w:val="1F3864" w:themeColor="accent1" w:themeShade="80"/>
      <w:sz w:val="28"/>
      <w:szCs w:val="32"/>
    </w:rPr>
  </w:style>
  <w:style w:type="paragraph" w:styleId="Heading2">
    <w:name w:val="heading 2"/>
    <w:basedOn w:val="Normal"/>
    <w:next w:val="Normal"/>
    <w:link w:val="Heading2Char"/>
    <w:uiPriority w:val="9"/>
    <w:unhideWhenUsed/>
    <w:qFormat/>
    <w:rsid w:val="00291E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1E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91E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91E5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se Study Char"/>
    <w:basedOn w:val="DefaultParagraphFont"/>
    <w:link w:val="Heading1"/>
    <w:uiPriority w:val="9"/>
    <w:rsid w:val="00291E5E"/>
    <w:rPr>
      <w:rFonts w:ascii="Century Gothic" w:eastAsiaTheme="majorEastAsia" w:hAnsi="Century Gothic" w:cstheme="majorBidi"/>
      <w:b/>
      <w:i/>
      <w:color w:val="1F3864" w:themeColor="accent1" w:themeShade="80"/>
      <w:sz w:val="28"/>
      <w:szCs w:val="32"/>
    </w:rPr>
  </w:style>
  <w:style w:type="character" w:customStyle="1" w:styleId="Heading2Char">
    <w:name w:val="Heading 2 Char"/>
    <w:basedOn w:val="DefaultParagraphFont"/>
    <w:link w:val="Heading2"/>
    <w:uiPriority w:val="9"/>
    <w:rsid w:val="00291E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1E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91E5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91E5E"/>
    <w:rPr>
      <w:rFonts w:asciiTheme="majorHAnsi" w:eastAsiaTheme="majorEastAsia" w:hAnsiTheme="majorHAnsi" w:cstheme="majorBidi"/>
      <w:color w:val="2F5496" w:themeColor="accent1" w:themeShade="BF"/>
    </w:rPr>
  </w:style>
  <w:style w:type="numbering" w:customStyle="1" w:styleId="NoList1">
    <w:name w:val="No List1"/>
    <w:next w:val="NoList"/>
    <w:uiPriority w:val="99"/>
    <w:semiHidden/>
    <w:unhideWhenUsed/>
    <w:rsid w:val="00291E5E"/>
  </w:style>
  <w:style w:type="paragraph" w:styleId="BalloonText">
    <w:name w:val="Balloon Text"/>
    <w:basedOn w:val="Normal"/>
    <w:link w:val="BalloonTextChar"/>
    <w:uiPriority w:val="99"/>
    <w:semiHidden/>
    <w:unhideWhenUsed/>
    <w:rsid w:val="00291E5E"/>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sid w:val="00291E5E"/>
    <w:rPr>
      <w:rFonts w:ascii="Segoe UI" w:hAnsi="Segoe UI" w:cs="Segoe UI"/>
      <w:sz w:val="18"/>
      <w:szCs w:val="18"/>
    </w:rPr>
  </w:style>
  <w:style w:type="paragraph" w:customStyle="1" w:styleId="Pa11">
    <w:name w:val="Pa11"/>
    <w:basedOn w:val="Normal"/>
    <w:next w:val="Normal"/>
    <w:uiPriority w:val="99"/>
    <w:rsid w:val="00291E5E"/>
    <w:pPr>
      <w:autoSpaceDE w:val="0"/>
      <w:autoSpaceDN w:val="0"/>
      <w:adjustRightInd w:val="0"/>
      <w:spacing w:after="0" w:line="281" w:lineRule="atLeast"/>
    </w:pPr>
    <w:rPr>
      <w:rFonts w:ascii="Avenir 55 Roman" w:hAnsi="Avenir 55 Roman"/>
      <w:sz w:val="24"/>
      <w:szCs w:val="24"/>
    </w:rPr>
  </w:style>
  <w:style w:type="paragraph" w:customStyle="1" w:styleId="ARH1-Mainsectionheading">
    <w:name w:val="AR H1 - Main section heading"/>
    <w:basedOn w:val="Normal"/>
    <w:link w:val="ARH1-MainsectionheadingChar"/>
    <w:qFormat/>
    <w:rsid w:val="00D579F2"/>
    <w:pPr>
      <w:spacing w:before="960" w:after="0"/>
      <w:outlineLvl w:val="0"/>
    </w:pPr>
    <w:rPr>
      <w:color w:val="0072CE"/>
      <w:sz w:val="40"/>
      <w:szCs w:val="40"/>
    </w:rPr>
  </w:style>
  <w:style w:type="character" w:customStyle="1" w:styleId="ARH1-MainsectionheadingChar">
    <w:name w:val="AR H1 - Main section heading Char"/>
    <w:basedOn w:val="DefaultParagraphFont"/>
    <w:link w:val="ARH1-Mainsectionheading"/>
    <w:rsid w:val="00D579F2"/>
    <w:rPr>
      <w:rFonts w:ascii="Century Gothic" w:hAnsi="Century Gothic"/>
      <w:color w:val="0072CE"/>
      <w:sz w:val="40"/>
      <w:szCs w:val="40"/>
    </w:rPr>
  </w:style>
  <w:style w:type="paragraph" w:styleId="Title">
    <w:name w:val="Title"/>
    <w:basedOn w:val="Normal"/>
    <w:next w:val="Normal"/>
    <w:link w:val="TitleChar"/>
    <w:uiPriority w:val="10"/>
    <w:qFormat/>
    <w:rsid w:val="00291E5E"/>
    <w:pPr>
      <w:spacing w:after="200"/>
      <w:outlineLvl w:val="0"/>
    </w:pPr>
    <w:rPr>
      <w:b/>
      <w:color w:val="0071B9"/>
      <w:sz w:val="48"/>
      <w:szCs w:val="48"/>
      <w:u w:val="single"/>
    </w:rPr>
  </w:style>
  <w:style w:type="character" w:customStyle="1" w:styleId="TitleChar">
    <w:name w:val="Title Char"/>
    <w:basedOn w:val="DefaultParagraphFont"/>
    <w:link w:val="Title"/>
    <w:uiPriority w:val="10"/>
    <w:rsid w:val="00291E5E"/>
    <w:rPr>
      <w:rFonts w:ascii="Century Gothic" w:hAnsi="Century Gothic"/>
      <w:b/>
      <w:color w:val="0071B9"/>
      <w:sz w:val="48"/>
      <w:szCs w:val="48"/>
      <w:u w:val="single"/>
    </w:rPr>
  </w:style>
  <w:style w:type="character" w:styleId="CommentReference">
    <w:name w:val="annotation reference"/>
    <w:basedOn w:val="DefaultParagraphFont"/>
    <w:uiPriority w:val="99"/>
    <w:semiHidden/>
    <w:unhideWhenUsed/>
    <w:rsid w:val="00291E5E"/>
    <w:rPr>
      <w:sz w:val="16"/>
      <w:szCs w:val="16"/>
    </w:rPr>
  </w:style>
  <w:style w:type="paragraph" w:styleId="CommentText">
    <w:name w:val="annotation text"/>
    <w:basedOn w:val="Normal"/>
    <w:link w:val="CommentTextChar"/>
    <w:uiPriority w:val="99"/>
    <w:unhideWhenUsed/>
    <w:rsid w:val="00291E5E"/>
    <w:pPr>
      <w:spacing w:after="200"/>
    </w:pPr>
    <w:rPr>
      <w:szCs w:val="20"/>
    </w:rPr>
  </w:style>
  <w:style w:type="character" w:customStyle="1" w:styleId="CommentTextChar">
    <w:name w:val="Comment Text Char"/>
    <w:basedOn w:val="DefaultParagraphFont"/>
    <w:link w:val="CommentText"/>
    <w:uiPriority w:val="99"/>
    <w:rsid w:val="00291E5E"/>
    <w:rPr>
      <w:sz w:val="20"/>
      <w:szCs w:val="20"/>
    </w:rPr>
  </w:style>
  <w:style w:type="character" w:customStyle="1" w:styleId="null1">
    <w:name w:val="null1"/>
    <w:basedOn w:val="DefaultParagraphFont"/>
    <w:rsid w:val="00291E5E"/>
  </w:style>
  <w:style w:type="paragraph" w:styleId="FootnoteText">
    <w:name w:val="footnote text"/>
    <w:basedOn w:val="Normal"/>
    <w:link w:val="FootnoteTextChar"/>
    <w:uiPriority w:val="99"/>
    <w:unhideWhenUsed/>
    <w:rsid w:val="00291E5E"/>
    <w:pPr>
      <w:spacing w:after="0"/>
    </w:pPr>
    <w:rPr>
      <w:rFonts w:eastAsia="Times New Roman" w:cs="Times New Roman"/>
      <w:szCs w:val="20"/>
    </w:rPr>
  </w:style>
  <w:style w:type="character" w:customStyle="1" w:styleId="FootnoteTextChar">
    <w:name w:val="Footnote Text Char"/>
    <w:basedOn w:val="DefaultParagraphFont"/>
    <w:link w:val="FootnoteText"/>
    <w:uiPriority w:val="99"/>
    <w:rsid w:val="00291E5E"/>
    <w:rPr>
      <w:rFonts w:ascii="Century Gothic" w:eastAsia="Times New Roman" w:hAnsi="Century Gothic" w:cs="Times New Roman"/>
      <w:sz w:val="20"/>
      <w:szCs w:val="20"/>
    </w:rPr>
  </w:style>
  <w:style w:type="paragraph" w:customStyle="1" w:styleId="03Footnote">
    <w:name w:val="03_Footnote"/>
    <w:basedOn w:val="Normal"/>
    <w:uiPriority w:val="99"/>
    <w:rsid w:val="00291E5E"/>
    <w:pPr>
      <w:tabs>
        <w:tab w:val="left" w:pos="227"/>
      </w:tabs>
      <w:suppressAutoHyphens/>
      <w:autoSpaceDE w:val="0"/>
      <w:autoSpaceDN w:val="0"/>
      <w:adjustRightInd w:val="0"/>
      <w:spacing w:after="57" w:line="180" w:lineRule="atLeast"/>
      <w:textAlignment w:val="center"/>
    </w:pPr>
    <w:rPr>
      <w:rFonts w:ascii="Avenir" w:eastAsia="Times New Roman" w:hAnsi="Avenir" w:cs="Avenir"/>
      <w:color w:val="000019"/>
      <w:sz w:val="16"/>
      <w:szCs w:val="16"/>
      <w:lang w:val="en-GB"/>
    </w:rPr>
  </w:style>
  <w:style w:type="paragraph" w:styleId="Header">
    <w:name w:val="header"/>
    <w:basedOn w:val="Normal"/>
    <w:link w:val="HeaderChar"/>
    <w:uiPriority w:val="99"/>
    <w:unhideWhenUsed/>
    <w:rsid w:val="00291E5E"/>
    <w:pPr>
      <w:tabs>
        <w:tab w:val="center" w:pos="4513"/>
        <w:tab w:val="right" w:pos="9026"/>
      </w:tabs>
      <w:spacing w:after="0"/>
    </w:pPr>
  </w:style>
  <w:style w:type="character" w:customStyle="1" w:styleId="HeaderChar">
    <w:name w:val="Header Char"/>
    <w:basedOn w:val="DefaultParagraphFont"/>
    <w:link w:val="Header"/>
    <w:uiPriority w:val="99"/>
    <w:rsid w:val="00291E5E"/>
    <w:rPr>
      <w:rFonts w:ascii="Century Gothic" w:hAnsi="Century Gothic"/>
    </w:rPr>
  </w:style>
  <w:style w:type="paragraph" w:styleId="Footer">
    <w:name w:val="footer"/>
    <w:basedOn w:val="Normal"/>
    <w:link w:val="FooterChar"/>
    <w:uiPriority w:val="99"/>
    <w:unhideWhenUsed/>
    <w:rsid w:val="00291E5E"/>
    <w:pPr>
      <w:tabs>
        <w:tab w:val="center" w:pos="4513"/>
        <w:tab w:val="right" w:pos="9026"/>
      </w:tabs>
      <w:spacing w:after="0"/>
    </w:pPr>
  </w:style>
  <w:style w:type="character" w:customStyle="1" w:styleId="FooterChar">
    <w:name w:val="Footer Char"/>
    <w:basedOn w:val="DefaultParagraphFont"/>
    <w:link w:val="Footer"/>
    <w:uiPriority w:val="99"/>
    <w:rsid w:val="00291E5E"/>
    <w:rPr>
      <w:rFonts w:ascii="Century Gothic" w:hAnsi="Century Gothic"/>
    </w:rPr>
  </w:style>
  <w:style w:type="paragraph" w:styleId="Revision">
    <w:name w:val="Revision"/>
    <w:hidden/>
    <w:uiPriority w:val="99"/>
    <w:semiHidden/>
    <w:rsid w:val="00291E5E"/>
    <w:pPr>
      <w:spacing w:after="0" w:line="240" w:lineRule="auto"/>
    </w:pPr>
    <w:rPr>
      <w:rFonts w:ascii="Century Gothic" w:hAnsi="Century Gothic"/>
    </w:rPr>
  </w:style>
  <w:style w:type="table" w:customStyle="1" w:styleId="TableGrid1">
    <w:name w:val="Table Grid1"/>
    <w:basedOn w:val="TableNormal"/>
    <w:next w:val="TableGrid"/>
    <w:uiPriority w:val="59"/>
    <w:rsid w:val="00291E5E"/>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291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O,N,(NECG) Footnote Reference,(NECG) Footnote Reference1,(NECG) Footnote Reference2,o"/>
    <w:basedOn w:val="DefaultParagraphFont"/>
    <w:uiPriority w:val="99"/>
    <w:unhideWhenUsed/>
    <w:rsid w:val="00291E5E"/>
    <w:rPr>
      <w:vertAlign w:val="superscript"/>
    </w:rPr>
  </w:style>
  <w:style w:type="paragraph" w:styleId="CommentSubject">
    <w:name w:val="annotation subject"/>
    <w:basedOn w:val="CommentText"/>
    <w:next w:val="CommentText"/>
    <w:link w:val="CommentSubjectChar"/>
    <w:uiPriority w:val="99"/>
    <w:semiHidden/>
    <w:unhideWhenUsed/>
    <w:rsid w:val="00291E5E"/>
    <w:rPr>
      <w:b/>
      <w:bCs/>
    </w:rPr>
  </w:style>
  <w:style w:type="character" w:customStyle="1" w:styleId="CommentSubjectChar">
    <w:name w:val="Comment Subject Char"/>
    <w:basedOn w:val="CommentTextChar"/>
    <w:link w:val="CommentSubject"/>
    <w:uiPriority w:val="99"/>
    <w:semiHidden/>
    <w:rsid w:val="00291E5E"/>
    <w:rPr>
      <w:rFonts w:ascii="Century Gothic" w:hAnsi="Century Gothic"/>
      <w:b/>
      <w:bCs/>
      <w:sz w:val="20"/>
      <w:szCs w:val="20"/>
    </w:rPr>
  </w:style>
  <w:style w:type="character" w:styleId="Hyperlink">
    <w:name w:val="Hyperlink"/>
    <w:basedOn w:val="DefaultParagraphFont"/>
    <w:uiPriority w:val="99"/>
    <w:unhideWhenUsed/>
    <w:rsid w:val="00291E5E"/>
    <w:rPr>
      <w:color w:val="0563C1" w:themeColor="hyperlink"/>
      <w:u w:val="single"/>
    </w:rPr>
  </w:style>
  <w:style w:type="character" w:styleId="UnresolvedMention">
    <w:name w:val="Unresolved Mention"/>
    <w:basedOn w:val="DefaultParagraphFont"/>
    <w:uiPriority w:val="99"/>
    <w:semiHidden/>
    <w:unhideWhenUsed/>
    <w:rsid w:val="00291E5E"/>
    <w:rPr>
      <w:color w:val="605E5C"/>
      <w:shd w:val="clear" w:color="auto" w:fill="E1DFDD"/>
    </w:rPr>
  </w:style>
  <w:style w:type="paragraph" w:styleId="ListParagraph">
    <w:name w:val="List Paragraph"/>
    <w:aliases w:val="List Paragraph1,Footnote Sam,Issue Action POC,3,POCG Table Text,Dot pt,F5 List Paragraph,List Paragraph Char Char Char,Indicator Text,Colorful List - Accent 11,Numbered Para 1,Bullet 1,Bullet Points,List Paragraph2,MAIN CONTENT"/>
    <w:basedOn w:val="Normal"/>
    <w:link w:val="ListParagraphChar"/>
    <w:uiPriority w:val="34"/>
    <w:qFormat/>
    <w:rsid w:val="00291E5E"/>
    <w:pPr>
      <w:numPr>
        <w:numId w:val="2"/>
      </w:numPr>
      <w:spacing w:after="80"/>
    </w:pPr>
  </w:style>
  <w:style w:type="character" w:customStyle="1" w:styleId="ListParagraphChar">
    <w:name w:val="List Paragraph Char"/>
    <w:aliases w:val="List Paragraph1 Char,Footnote Sam Char,Issue Action POC Char,3 Char,POCG Table Text Char,Dot pt Char,F5 List Paragraph Char,List Paragraph Char Char Char Char,Indicator Text Char,Colorful List - Accent 11 Char,Numbered Para 1 Char"/>
    <w:basedOn w:val="DefaultParagraphFont"/>
    <w:link w:val="ListParagraph"/>
    <w:uiPriority w:val="34"/>
    <w:qFormat/>
    <w:rsid w:val="00291E5E"/>
    <w:rPr>
      <w:rFonts w:ascii="Century Gothic" w:hAnsi="Century Gothic"/>
    </w:rPr>
  </w:style>
  <w:style w:type="paragraph" w:styleId="ListBullet">
    <w:name w:val="List Bullet"/>
    <w:basedOn w:val="Normal"/>
    <w:uiPriority w:val="99"/>
    <w:unhideWhenUsed/>
    <w:rsid w:val="00291E5E"/>
    <w:pPr>
      <w:numPr>
        <w:numId w:val="1"/>
      </w:numPr>
      <w:spacing w:after="200"/>
      <w:contextualSpacing/>
    </w:pPr>
  </w:style>
  <w:style w:type="paragraph" w:customStyle="1" w:styleId="ARBodyText">
    <w:name w:val="AR Body Text"/>
    <w:basedOn w:val="Normal"/>
    <w:link w:val="ARBodyTextChar"/>
    <w:qFormat/>
    <w:rsid w:val="00B12301"/>
    <w:pPr>
      <w:spacing w:before="120" w:after="0" w:line="240" w:lineRule="exact"/>
    </w:pPr>
  </w:style>
  <w:style w:type="character" w:customStyle="1" w:styleId="ARBodyTextChar">
    <w:name w:val="AR Body Text Char"/>
    <w:basedOn w:val="DefaultParagraphFont"/>
    <w:link w:val="ARBodyText"/>
    <w:rsid w:val="00B12301"/>
    <w:rPr>
      <w:rFonts w:ascii="Century Gothic" w:hAnsi="Century Gothic"/>
      <w:sz w:val="20"/>
      <w:szCs w:val="18"/>
    </w:rPr>
  </w:style>
  <w:style w:type="paragraph" w:styleId="NormalWeb">
    <w:name w:val="Normal (Web)"/>
    <w:basedOn w:val="Normal"/>
    <w:uiPriority w:val="99"/>
    <w:unhideWhenUsed/>
    <w:rsid w:val="00291E5E"/>
    <w:pPr>
      <w:spacing w:after="150"/>
    </w:pPr>
    <w:rPr>
      <w:rFonts w:ascii="Times New Roman" w:eastAsia="Times New Roman" w:hAnsi="Times New Roman" w:cs="Times New Roman"/>
      <w:sz w:val="24"/>
      <w:szCs w:val="24"/>
      <w:lang w:eastAsia="en-AU"/>
    </w:rPr>
  </w:style>
  <w:style w:type="paragraph" w:customStyle="1" w:styleId="ARNumberedList">
    <w:name w:val="AR Numbered List"/>
    <w:basedOn w:val="ARBulletListL1"/>
    <w:link w:val="ARNumberedListChar"/>
    <w:qFormat/>
    <w:rsid w:val="00291E5E"/>
    <w:pPr>
      <w:numPr>
        <w:numId w:val="9"/>
      </w:numPr>
    </w:pPr>
  </w:style>
  <w:style w:type="paragraph" w:customStyle="1" w:styleId="ARNote">
    <w:name w:val="AR Note"/>
    <w:basedOn w:val="ARBodyText"/>
    <w:link w:val="ARNoteChar"/>
    <w:qFormat/>
    <w:rsid w:val="00291E5E"/>
    <w:pPr>
      <w:spacing w:line="240" w:lineRule="auto"/>
      <w:ind w:left="284" w:hanging="284"/>
    </w:pPr>
    <w:rPr>
      <w:sz w:val="18"/>
      <w:szCs w:val="16"/>
    </w:rPr>
  </w:style>
  <w:style w:type="character" w:styleId="SubtleEmphasis">
    <w:name w:val="Subtle Emphasis"/>
    <w:uiPriority w:val="19"/>
    <w:qFormat/>
    <w:rsid w:val="00291E5E"/>
    <w:rPr>
      <w:rFonts w:ascii="Century Gothic" w:eastAsia="Times New Roman" w:hAnsi="Century Gothic" w:cs="Times New Roman"/>
      <w:bCs/>
      <w:color w:val="0071B9"/>
      <w:lang w:val="en-GB"/>
    </w:rPr>
  </w:style>
  <w:style w:type="paragraph" w:customStyle="1" w:styleId="Subtle">
    <w:name w:val="Subtle"/>
    <w:basedOn w:val="Normal"/>
    <w:link w:val="SubtleChar"/>
    <w:qFormat/>
    <w:rsid w:val="00291E5E"/>
    <w:pPr>
      <w:keepNext/>
      <w:spacing w:before="60" w:after="60"/>
      <w:outlineLvl w:val="3"/>
    </w:pPr>
    <w:rPr>
      <w:rFonts w:eastAsiaTheme="minorEastAsia" w:cs="Times New Roman"/>
      <w:sz w:val="18"/>
      <w:szCs w:val="24"/>
      <w:lang w:val="en-GB"/>
    </w:rPr>
  </w:style>
  <w:style w:type="character" w:customStyle="1" w:styleId="SubtleChar">
    <w:name w:val="Subtle Char"/>
    <w:basedOn w:val="DefaultParagraphFont"/>
    <w:link w:val="Subtle"/>
    <w:rsid w:val="00291E5E"/>
    <w:rPr>
      <w:rFonts w:ascii="Century Gothic" w:eastAsiaTheme="minorEastAsia" w:hAnsi="Century Gothic" w:cs="Times New Roman"/>
      <w:sz w:val="18"/>
      <w:szCs w:val="24"/>
      <w:lang w:val="en-GB"/>
    </w:rPr>
  </w:style>
  <w:style w:type="character" w:customStyle="1" w:styleId="ARNumberedListChar">
    <w:name w:val="AR Numbered List Char"/>
    <w:basedOn w:val="ARBulletListL1Char"/>
    <w:link w:val="ARNumberedList"/>
    <w:rsid w:val="00291E5E"/>
    <w:rPr>
      <w:rFonts w:ascii="Century Gothic" w:hAnsi="Century Gothic"/>
      <w:sz w:val="20"/>
      <w:szCs w:val="18"/>
    </w:rPr>
  </w:style>
  <w:style w:type="character" w:customStyle="1" w:styleId="ARNoteChar">
    <w:name w:val="AR Note Char"/>
    <w:basedOn w:val="ARBodyTextChar"/>
    <w:link w:val="ARNote"/>
    <w:rsid w:val="00291E5E"/>
    <w:rPr>
      <w:rFonts w:ascii="Century Gothic" w:hAnsi="Century Gothic"/>
      <w:sz w:val="18"/>
      <w:szCs w:val="16"/>
    </w:rPr>
  </w:style>
  <w:style w:type="paragraph" w:customStyle="1" w:styleId="03footnote0">
    <w:name w:val="_03_footnote"/>
    <w:basedOn w:val="Normal"/>
    <w:rsid w:val="00291E5E"/>
    <w:pPr>
      <w:spacing w:before="100" w:beforeAutospacing="1" w:after="100" w:afterAutospacing="1"/>
    </w:pPr>
    <w:rPr>
      <w:rFonts w:eastAsia="Times New Roman" w:cs="Times New Roman"/>
      <w:sz w:val="18"/>
      <w:szCs w:val="24"/>
    </w:rPr>
  </w:style>
  <w:style w:type="paragraph" w:customStyle="1" w:styleId="null">
    <w:name w:val="null"/>
    <w:basedOn w:val="Normal"/>
    <w:rsid w:val="00291E5E"/>
    <w:pPr>
      <w:spacing w:before="100" w:beforeAutospacing="1" w:after="100" w:afterAutospacing="1"/>
    </w:pPr>
    <w:rPr>
      <w:rFonts w:ascii="Calibri" w:hAnsi="Calibri" w:cs="Calibri"/>
      <w:lang w:eastAsia="en-AU"/>
    </w:rPr>
  </w:style>
  <w:style w:type="character" w:styleId="Strong">
    <w:name w:val="Strong"/>
    <w:basedOn w:val="DefaultParagraphFont"/>
    <w:uiPriority w:val="22"/>
    <w:qFormat/>
    <w:rsid w:val="00291E5E"/>
    <w:rPr>
      <w:b/>
      <w:bCs/>
    </w:rPr>
  </w:style>
  <w:style w:type="paragraph" w:styleId="NoSpacing">
    <w:name w:val="No Spacing"/>
    <w:aliases w:val="Case study text"/>
    <w:uiPriority w:val="1"/>
    <w:qFormat/>
    <w:rsid w:val="00291E5E"/>
    <w:pPr>
      <w:spacing w:after="0" w:line="240" w:lineRule="auto"/>
    </w:pPr>
  </w:style>
  <w:style w:type="character" w:customStyle="1" w:styleId="StyleItalic">
    <w:name w:val="Style Italic"/>
    <w:basedOn w:val="DefaultParagraphFont"/>
    <w:rsid w:val="00291E5E"/>
    <w:rPr>
      <w:i/>
      <w:iCs/>
    </w:rPr>
  </w:style>
  <w:style w:type="paragraph" w:customStyle="1" w:styleId="Default">
    <w:name w:val="Default"/>
    <w:rsid w:val="00291E5E"/>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291E5E"/>
    <w:pPr>
      <w:spacing w:after="200"/>
    </w:pPr>
    <w:rPr>
      <w:i/>
      <w:iCs/>
      <w:color w:val="44546A" w:themeColor="text2"/>
      <w:sz w:val="18"/>
    </w:rPr>
  </w:style>
  <w:style w:type="paragraph" w:customStyle="1" w:styleId="Pa4">
    <w:name w:val="Pa4"/>
    <w:basedOn w:val="Normal"/>
    <w:next w:val="Normal"/>
    <w:uiPriority w:val="99"/>
    <w:rsid w:val="00291E5E"/>
    <w:pPr>
      <w:autoSpaceDE w:val="0"/>
      <w:autoSpaceDN w:val="0"/>
      <w:adjustRightInd w:val="0"/>
      <w:spacing w:after="0" w:line="181" w:lineRule="atLeast"/>
    </w:pPr>
    <w:rPr>
      <w:rFonts w:ascii="Avenir 65 Medium" w:hAnsi="Avenir 65 Medium"/>
      <w:sz w:val="24"/>
      <w:szCs w:val="24"/>
    </w:rPr>
  </w:style>
  <w:style w:type="paragraph" w:customStyle="1" w:styleId="ARBulletListL2">
    <w:name w:val="AR Bullet List L2"/>
    <w:basedOn w:val="ARBulletListL1"/>
    <w:qFormat/>
    <w:rsid w:val="00291E5E"/>
    <w:pPr>
      <w:spacing w:before="60"/>
    </w:pPr>
  </w:style>
  <w:style w:type="paragraph" w:customStyle="1" w:styleId="ARBulletListL1">
    <w:name w:val="AR Bullet List L1"/>
    <w:basedOn w:val="ARBodyText"/>
    <w:link w:val="ARBulletListL1Char"/>
    <w:qFormat/>
    <w:rsid w:val="00B12301"/>
    <w:pPr>
      <w:numPr>
        <w:numId w:val="11"/>
      </w:numPr>
      <w:spacing w:before="0" w:after="240"/>
      <w:ind w:left="284" w:hanging="284"/>
    </w:pPr>
  </w:style>
  <w:style w:type="character" w:customStyle="1" w:styleId="ARBulletListL1Char">
    <w:name w:val="AR Bullet List L1 Char"/>
    <w:basedOn w:val="ARBodyTextChar"/>
    <w:link w:val="ARBulletListL1"/>
    <w:rsid w:val="00B12301"/>
    <w:rPr>
      <w:rFonts w:ascii="Century Gothic" w:hAnsi="Century Gothic"/>
      <w:sz w:val="20"/>
      <w:szCs w:val="18"/>
    </w:rPr>
  </w:style>
  <w:style w:type="paragraph" w:customStyle="1" w:styleId="ARTableHeader">
    <w:name w:val="AR Table Header"/>
    <w:basedOn w:val="Normal"/>
    <w:link w:val="ARTableHeaderChar"/>
    <w:qFormat/>
    <w:rsid w:val="00291E5E"/>
    <w:pPr>
      <w:keepNext/>
      <w:spacing w:before="60" w:after="60" w:line="240" w:lineRule="atLeast"/>
    </w:pPr>
    <w:rPr>
      <w:b/>
      <w:color w:val="FFFFFF" w:themeColor="background1"/>
      <w:sz w:val="18"/>
      <w:szCs w:val="16"/>
    </w:rPr>
  </w:style>
  <w:style w:type="character" w:customStyle="1" w:styleId="ARTableHeaderChar">
    <w:name w:val="AR Table Header Char"/>
    <w:basedOn w:val="ARTableFigureTitleChar"/>
    <w:link w:val="ARTableHeader"/>
    <w:rsid w:val="00291E5E"/>
    <w:rPr>
      <w:rFonts w:ascii="Century Gothic" w:hAnsi="Century Gothic"/>
      <w:b/>
      <w:color w:val="FFFFFF" w:themeColor="background1"/>
      <w:sz w:val="18"/>
      <w:szCs w:val="16"/>
    </w:rPr>
  </w:style>
  <w:style w:type="character" w:styleId="IntenseEmphasis">
    <w:name w:val="Intense Emphasis"/>
    <w:basedOn w:val="SubtleEmphasis"/>
    <w:uiPriority w:val="21"/>
    <w:qFormat/>
    <w:rsid w:val="00291E5E"/>
    <w:rPr>
      <w:rFonts w:ascii="Century Gothic" w:eastAsia="Times New Roman" w:hAnsi="Century Gothic" w:cstheme="majorBidi"/>
      <w:bCs w:val="0"/>
      <w:i/>
      <w:iCs/>
      <w:color w:val="0071B9"/>
      <w:spacing w:val="0"/>
      <w:sz w:val="22"/>
      <w:lang w:val="en-GB"/>
    </w:rPr>
  </w:style>
  <w:style w:type="paragraph" w:customStyle="1" w:styleId="Pa12">
    <w:name w:val="Pa12"/>
    <w:basedOn w:val="Normal"/>
    <w:uiPriority w:val="99"/>
    <w:rsid w:val="00291E5E"/>
    <w:pPr>
      <w:autoSpaceDE w:val="0"/>
      <w:autoSpaceDN w:val="0"/>
      <w:spacing w:after="0" w:line="261" w:lineRule="atLeast"/>
    </w:pPr>
    <w:rPr>
      <w:rFonts w:ascii="Avenir 55 Roman" w:hAnsi="Avenir 55 Roman" w:cs="Calibri"/>
      <w:sz w:val="24"/>
      <w:szCs w:val="24"/>
    </w:rPr>
  </w:style>
  <w:style w:type="paragraph" w:customStyle="1" w:styleId="ARH3-Bodycopyheadinglevel1">
    <w:name w:val="AR H3 - Body copy heading level 1"/>
    <w:basedOn w:val="Normal"/>
    <w:next w:val="ARBodyText"/>
    <w:link w:val="ARH3-Bodycopyheadinglevel1Char"/>
    <w:qFormat/>
    <w:rsid w:val="00D579F2"/>
    <w:pPr>
      <w:keepNext/>
      <w:keepLines/>
      <w:spacing w:before="360" w:after="0" w:line="240" w:lineRule="atLeast"/>
      <w:outlineLvl w:val="2"/>
    </w:pPr>
    <w:rPr>
      <w:b/>
      <w:color w:val="0072CE"/>
      <w:sz w:val="22"/>
      <w:szCs w:val="22"/>
    </w:rPr>
  </w:style>
  <w:style w:type="character" w:customStyle="1" w:styleId="ARH3-Bodycopyheadinglevel1Char">
    <w:name w:val="AR H3 - Body copy heading level 1 Char"/>
    <w:basedOn w:val="DefaultParagraphFont"/>
    <w:link w:val="ARH3-Bodycopyheadinglevel1"/>
    <w:rsid w:val="00D579F2"/>
    <w:rPr>
      <w:rFonts w:ascii="Century Gothic" w:hAnsi="Century Gothic"/>
      <w:b/>
      <w:color w:val="0072CE"/>
    </w:rPr>
  </w:style>
  <w:style w:type="character" w:styleId="FollowedHyperlink">
    <w:name w:val="FollowedHyperlink"/>
    <w:basedOn w:val="DefaultParagraphFont"/>
    <w:uiPriority w:val="99"/>
    <w:semiHidden/>
    <w:unhideWhenUsed/>
    <w:rsid w:val="00291E5E"/>
    <w:rPr>
      <w:color w:val="954F72" w:themeColor="followedHyperlink"/>
      <w:u w:val="single"/>
    </w:rPr>
  </w:style>
  <w:style w:type="character" w:customStyle="1" w:styleId="realtext">
    <w:name w:val="realtext"/>
    <w:basedOn w:val="DefaultParagraphFont"/>
    <w:rsid w:val="00291E5E"/>
    <w:rPr>
      <w:rFonts w:ascii="Arial" w:hAnsi="Arial"/>
    </w:rPr>
  </w:style>
  <w:style w:type="paragraph" w:customStyle="1" w:styleId="Pa7">
    <w:name w:val="Pa7"/>
    <w:basedOn w:val="Normal"/>
    <w:next w:val="Normal"/>
    <w:uiPriority w:val="99"/>
    <w:rsid w:val="00291E5E"/>
    <w:pPr>
      <w:autoSpaceDE w:val="0"/>
      <w:autoSpaceDN w:val="0"/>
      <w:adjustRightInd w:val="0"/>
      <w:spacing w:after="0" w:line="181" w:lineRule="atLeast"/>
    </w:pPr>
    <w:rPr>
      <w:rFonts w:ascii="Avenir" w:hAnsi="Avenir"/>
      <w:sz w:val="24"/>
      <w:szCs w:val="24"/>
    </w:rPr>
  </w:style>
  <w:style w:type="character" w:customStyle="1" w:styleId="A9">
    <w:name w:val="A9"/>
    <w:uiPriority w:val="99"/>
    <w:rsid w:val="00291E5E"/>
    <w:rPr>
      <w:rFonts w:ascii="Avenir Book" w:hAnsi="Avenir Book" w:cs="Avenir Book"/>
      <w:color w:val="000000"/>
      <w:sz w:val="18"/>
      <w:szCs w:val="18"/>
      <w:u w:val="single"/>
    </w:rPr>
  </w:style>
  <w:style w:type="paragraph" w:styleId="EndnoteText">
    <w:name w:val="endnote text"/>
    <w:basedOn w:val="Normal"/>
    <w:link w:val="EndnoteTextChar"/>
    <w:uiPriority w:val="99"/>
    <w:semiHidden/>
    <w:unhideWhenUsed/>
    <w:rsid w:val="00291E5E"/>
    <w:pPr>
      <w:spacing w:after="0"/>
    </w:pPr>
    <w:rPr>
      <w:szCs w:val="20"/>
    </w:rPr>
  </w:style>
  <w:style w:type="character" w:customStyle="1" w:styleId="EndnoteTextChar">
    <w:name w:val="Endnote Text Char"/>
    <w:basedOn w:val="DefaultParagraphFont"/>
    <w:link w:val="EndnoteText"/>
    <w:uiPriority w:val="99"/>
    <w:semiHidden/>
    <w:rsid w:val="00291E5E"/>
    <w:rPr>
      <w:rFonts w:ascii="Century Gothic" w:hAnsi="Century Gothic"/>
      <w:sz w:val="20"/>
      <w:szCs w:val="20"/>
    </w:rPr>
  </w:style>
  <w:style w:type="character" w:styleId="EndnoteReference">
    <w:name w:val="endnote reference"/>
    <w:basedOn w:val="DefaultParagraphFont"/>
    <w:uiPriority w:val="99"/>
    <w:semiHidden/>
    <w:unhideWhenUsed/>
    <w:rsid w:val="00291E5E"/>
    <w:rPr>
      <w:vertAlign w:val="superscript"/>
    </w:rPr>
  </w:style>
  <w:style w:type="paragraph" w:customStyle="1" w:styleId="TableParagraph">
    <w:name w:val="Table Paragraph"/>
    <w:basedOn w:val="Normal"/>
    <w:uiPriority w:val="1"/>
    <w:qFormat/>
    <w:rsid w:val="00291E5E"/>
    <w:pPr>
      <w:widowControl w:val="0"/>
      <w:spacing w:after="0"/>
    </w:pPr>
    <w:rPr>
      <w:lang w:val="en-US"/>
    </w:rPr>
  </w:style>
  <w:style w:type="character" w:customStyle="1" w:styleId="TableTextChar">
    <w:name w:val="Table Text Char"/>
    <w:basedOn w:val="DefaultParagraphFont"/>
    <w:link w:val="TableText"/>
    <w:locked/>
    <w:rsid w:val="00291E5E"/>
    <w:rPr>
      <w:rFonts w:ascii="Calibri" w:hAnsi="Calibri"/>
      <w:color w:val="000000"/>
      <w:lang w:eastAsia="zh-CN"/>
    </w:rPr>
  </w:style>
  <w:style w:type="paragraph" w:customStyle="1" w:styleId="TableText">
    <w:name w:val="Table Text"/>
    <w:basedOn w:val="Normal"/>
    <w:link w:val="TableTextChar"/>
    <w:rsid w:val="00291E5E"/>
    <w:pPr>
      <w:spacing w:after="60"/>
    </w:pPr>
    <w:rPr>
      <w:rFonts w:ascii="Calibri" w:hAnsi="Calibri"/>
      <w:color w:val="000000"/>
      <w:lang w:eastAsia="zh-CN"/>
    </w:rPr>
  </w:style>
  <w:style w:type="paragraph" w:styleId="TOCHeading">
    <w:name w:val="TOC Heading"/>
    <w:basedOn w:val="Heading1"/>
    <w:next w:val="Normal"/>
    <w:uiPriority w:val="39"/>
    <w:unhideWhenUsed/>
    <w:qFormat/>
    <w:rsid w:val="00291E5E"/>
    <w:pPr>
      <w:outlineLvl w:val="9"/>
    </w:pPr>
    <w:rPr>
      <w:rFonts w:asciiTheme="majorHAnsi" w:hAnsiTheme="majorHAnsi"/>
      <w:b w:val="0"/>
      <w:i w:val="0"/>
      <w:color w:val="2F5496" w:themeColor="accent1" w:themeShade="BF"/>
      <w:sz w:val="32"/>
      <w:lang w:val="en-US"/>
    </w:rPr>
  </w:style>
  <w:style w:type="paragraph" w:styleId="TOC1">
    <w:name w:val="toc 1"/>
    <w:basedOn w:val="Normal"/>
    <w:next w:val="Normal"/>
    <w:autoRedefine/>
    <w:uiPriority w:val="39"/>
    <w:unhideWhenUsed/>
    <w:rsid w:val="00174C2B"/>
    <w:pPr>
      <w:spacing w:before="120" w:after="0"/>
    </w:pPr>
  </w:style>
  <w:style w:type="paragraph" w:styleId="TOC2">
    <w:name w:val="toc 2"/>
    <w:basedOn w:val="Normal"/>
    <w:next w:val="Normal"/>
    <w:autoRedefine/>
    <w:uiPriority w:val="39"/>
    <w:unhideWhenUsed/>
    <w:rsid w:val="00174C2B"/>
    <w:pPr>
      <w:spacing w:before="120" w:after="0"/>
      <w:ind w:left="221"/>
    </w:pPr>
  </w:style>
  <w:style w:type="paragraph" w:styleId="TOC3">
    <w:name w:val="toc 3"/>
    <w:basedOn w:val="Normal"/>
    <w:next w:val="Normal"/>
    <w:autoRedefine/>
    <w:uiPriority w:val="39"/>
    <w:unhideWhenUsed/>
    <w:rsid w:val="00291E5E"/>
    <w:pPr>
      <w:spacing w:after="100"/>
      <w:ind w:left="440"/>
    </w:pPr>
  </w:style>
  <w:style w:type="numbering" w:customStyle="1" w:styleId="NoList11">
    <w:name w:val="No List11"/>
    <w:next w:val="NoList"/>
    <w:uiPriority w:val="99"/>
    <w:semiHidden/>
    <w:unhideWhenUsed/>
    <w:rsid w:val="00291E5E"/>
  </w:style>
  <w:style w:type="table" w:customStyle="1" w:styleId="TableGrid11">
    <w:name w:val="Table Grid11"/>
    <w:basedOn w:val="TableNormal"/>
    <w:next w:val="TableGrid"/>
    <w:uiPriority w:val="59"/>
    <w:rsid w:val="00291E5E"/>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291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91E5E"/>
    <w:pPr>
      <w:spacing w:after="0" w:line="240" w:lineRule="auto"/>
    </w:pPr>
    <w:rPr>
      <w:rFonts w:eastAsiaTheme="minorEastAsia"/>
      <w:color w:val="000000" w:themeColor="text1"/>
      <w:sz w:val="19"/>
      <w:szCs w:val="19"/>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91E5E"/>
    <w:rPr>
      <w:i/>
      <w:iCs/>
    </w:rPr>
  </w:style>
  <w:style w:type="paragraph" w:customStyle="1" w:styleId="normal1">
    <w:name w:val="normal1"/>
    <w:basedOn w:val="Normal"/>
    <w:rsid w:val="00291E5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subparaa">
    <w:name w:val="sub para (a)"/>
    <w:basedOn w:val="Normal"/>
    <w:rsid w:val="00291E5E"/>
    <w:pPr>
      <w:tabs>
        <w:tab w:val="num" w:pos="2693"/>
      </w:tabs>
      <w:spacing w:before="100" w:after="0" w:line="300" w:lineRule="atLeast"/>
      <w:ind w:left="2693" w:hanging="425"/>
    </w:pPr>
    <w:rPr>
      <w:rFonts w:ascii="Times New Roman" w:eastAsia="Times New Roman" w:hAnsi="Times New Roman" w:cs="Times New Roman"/>
      <w:lang w:eastAsia="en-AU"/>
    </w:rPr>
  </w:style>
  <w:style w:type="paragraph" w:customStyle="1" w:styleId="subsubparai">
    <w:name w:val="sub sub para (i)"/>
    <w:basedOn w:val="subparaa"/>
    <w:rsid w:val="00291E5E"/>
    <w:pPr>
      <w:tabs>
        <w:tab w:val="clear" w:pos="2693"/>
        <w:tab w:val="num" w:pos="3119"/>
      </w:tabs>
      <w:ind w:left="3119" w:hanging="426"/>
    </w:pPr>
  </w:style>
  <w:style w:type="paragraph" w:customStyle="1" w:styleId="sub3paraA">
    <w:name w:val="sub3para (A)"/>
    <w:basedOn w:val="subsubparai"/>
    <w:qFormat/>
    <w:rsid w:val="00291E5E"/>
    <w:pPr>
      <w:tabs>
        <w:tab w:val="clear" w:pos="3119"/>
        <w:tab w:val="num" w:pos="3544"/>
      </w:tabs>
      <w:ind w:left="3544" w:hanging="425"/>
    </w:pPr>
  </w:style>
  <w:style w:type="paragraph" w:customStyle="1" w:styleId="sub4paraI">
    <w:name w:val="sub4para (I)"/>
    <w:basedOn w:val="subsubparai"/>
    <w:qFormat/>
    <w:rsid w:val="00291E5E"/>
    <w:pPr>
      <w:tabs>
        <w:tab w:val="clear" w:pos="3119"/>
        <w:tab w:val="num" w:pos="3969"/>
      </w:tabs>
      <w:ind w:left="3969" w:hanging="425"/>
    </w:pPr>
  </w:style>
  <w:style w:type="paragraph" w:customStyle="1" w:styleId="Note">
    <w:name w:val="Note"/>
    <w:basedOn w:val="Normal"/>
    <w:next w:val="Normal"/>
    <w:rsid w:val="00291E5E"/>
    <w:pPr>
      <w:spacing w:before="200" w:after="0" w:line="240" w:lineRule="atLeast"/>
      <w:ind w:left="2693"/>
    </w:pPr>
    <w:rPr>
      <w:rFonts w:ascii="Times New Roman" w:eastAsia="Times New Roman" w:hAnsi="Times New Roman" w:cs="Times New Roman"/>
      <w:sz w:val="18"/>
      <w:lang w:eastAsia="en-AU"/>
    </w:rPr>
  </w:style>
  <w:style w:type="character" w:styleId="PageNumber">
    <w:name w:val="page number"/>
    <w:basedOn w:val="DefaultParagraphFont"/>
    <w:uiPriority w:val="99"/>
    <w:semiHidden/>
    <w:unhideWhenUsed/>
    <w:rsid w:val="00291E5E"/>
  </w:style>
  <w:style w:type="paragraph" w:customStyle="1" w:styleId="CorpPlanHeading3">
    <w:name w:val="Corp Plan Heading 3"/>
    <w:basedOn w:val="Heading5"/>
    <w:uiPriority w:val="1"/>
    <w:qFormat/>
    <w:rsid w:val="00291E5E"/>
    <w:pPr>
      <w:keepNext w:val="0"/>
      <w:keepLines w:val="0"/>
      <w:widowControl w:val="0"/>
      <w:spacing w:before="120" w:after="120"/>
    </w:pPr>
    <w:rPr>
      <w:rFonts w:ascii="Century Gothic" w:eastAsia="Arial" w:hAnsi="Century Gothic" w:cstheme="minorBidi"/>
      <w:b/>
      <w:bCs/>
      <w:color w:val="0071B9"/>
      <w:sz w:val="24"/>
      <w:lang w:val="en-US"/>
    </w:rPr>
  </w:style>
  <w:style w:type="paragraph" w:customStyle="1" w:styleId="Introbullets">
    <w:name w:val="Intro bullets"/>
    <w:basedOn w:val="Normal"/>
    <w:uiPriority w:val="1"/>
    <w:qFormat/>
    <w:rsid w:val="00291E5E"/>
    <w:pPr>
      <w:widowControl w:val="0"/>
      <w:numPr>
        <w:numId w:val="3"/>
      </w:numPr>
      <w:spacing w:after="0"/>
      <w:ind w:left="714" w:hanging="357"/>
    </w:pPr>
    <w:rPr>
      <w:rFonts w:ascii="Arial" w:hAnsi="Arial"/>
      <w:color w:val="890C58"/>
      <w:sz w:val="28"/>
      <w:lang w:val="en-US"/>
    </w:rPr>
  </w:style>
  <w:style w:type="paragraph" w:customStyle="1" w:styleId="Pa6">
    <w:name w:val="Pa6"/>
    <w:basedOn w:val="Default"/>
    <w:next w:val="Default"/>
    <w:uiPriority w:val="99"/>
    <w:rsid w:val="00291E5E"/>
    <w:pPr>
      <w:spacing w:line="181" w:lineRule="atLeast"/>
    </w:pPr>
    <w:rPr>
      <w:rFonts w:ascii="Avenir" w:hAnsi="Avenir" w:cstheme="minorBidi"/>
      <w:color w:val="auto"/>
    </w:rPr>
  </w:style>
  <w:style w:type="paragraph" w:customStyle="1" w:styleId="ListPara1">
    <w:name w:val="List Para 1"/>
    <w:basedOn w:val="Normal"/>
    <w:link w:val="ListPara1Char"/>
    <w:uiPriority w:val="4"/>
    <w:qFormat/>
    <w:rsid w:val="00291E5E"/>
    <w:pPr>
      <w:numPr>
        <w:numId w:val="4"/>
      </w:numPr>
      <w:spacing w:after="200" w:line="276" w:lineRule="auto"/>
    </w:pPr>
    <w:rPr>
      <w:rFonts w:eastAsia="Times New Roman" w:cs="Arial"/>
      <w:szCs w:val="20"/>
      <w:lang w:val="en-US" w:eastAsia="en-AU"/>
    </w:rPr>
  </w:style>
  <w:style w:type="character" w:customStyle="1" w:styleId="ListPara1Char">
    <w:name w:val="List Para 1 Char"/>
    <w:basedOn w:val="DefaultParagraphFont"/>
    <w:link w:val="ListPara1"/>
    <w:uiPriority w:val="4"/>
    <w:rsid w:val="00291E5E"/>
    <w:rPr>
      <w:rFonts w:ascii="Century Gothic" w:eastAsia="Times New Roman" w:hAnsi="Century Gothic" w:cs="Arial"/>
      <w:szCs w:val="20"/>
      <w:lang w:val="en-US" w:eastAsia="en-AU"/>
    </w:rPr>
  </w:style>
  <w:style w:type="paragraph" w:customStyle="1" w:styleId="tabletext0">
    <w:name w:val="table text"/>
    <w:basedOn w:val="Normal"/>
    <w:rsid w:val="00291E5E"/>
    <w:pPr>
      <w:spacing w:before="120" w:after="0" w:line="240" w:lineRule="atLeast"/>
    </w:pPr>
    <w:rPr>
      <w:rFonts w:ascii="Arial" w:eastAsia="Times New Roman" w:hAnsi="Arial" w:cs="Arial"/>
      <w:sz w:val="18"/>
      <w:lang w:eastAsia="en-AU"/>
    </w:rPr>
  </w:style>
  <w:style w:type="paragraph" w:customStyle="1" w:styleId="Keystagekeypoints">
    <w:name w:val="Key stage key points"/>
    <w:basedOn w:val="Normal"/>
    <w:link w:val="KeystagekeypointsChar"/>
    <w:qFormat/>
    <w:rsid w:val="00291E5E"/>
    <w:pPr>
      <w:keepNext/>
      <w:keepLines/>
      <w:pBdr>
        <w:top w:val="single" w:sz="6" w:space="4" w:color="117DC7"/>
        <w:left w:val="single" w:sz="6" w:space="4" w:color="117DC7"/>
        <w:bottom w:val="single" w:sz="6" w:space="4" w:color="117DC7"/>
        <w:right w:val="single" w:sz="6" w:space="4" w:color="117DC7"/>
      </w:pBdr>
      <w:spacing w:before="160" w:after="0" w:line="260" w:lineRule="atLeast"/>
      <w:ind w:left="1134"/>
    </w:pPr>
    <w:rPr>
      <w:rFonts w:ascii="Arial" w:eastAsia="Times New Roman" w:hAnsi="Arial" w:cs="Arial"/>
      <w:szCs w:val="20"/>
      <w:lang w:eastAsia="en-AU"/>
    </w:rPr>
  </w:style>
  <w:style w:type="character" w:customStyle="1" w:styleId="KeystagekeypointsChar">
    <w:name w:val="Key stage key points Char"/>
    <w:basedOn w:val="DefaultParagraphFont"/>
    <w:link w:val="Keystagekeypoints"/>
    <w:rsid w:val="00291E5E"/>
    <w:rPr>
      <w:rFonts w:ascii="Arial" w:eastAsia="Times New Roman" w:hAnsi="Arial" w:cs="Arial"/>
      <w:sz w:val="20"/>
      <w:szCs w:val="20"/>
      <w:lang w:eastAsia="en-AU"/>
    </w:rPr>
  </w:style>
  <w:style w:type="paragraph" w:customStyle="1" w:styleId="Tablehead">
    <w:name w:val="Table head"/>
    <w:qFormat/>
    <w:rsid w:val="00291E5E"/>
    <w:pPr>
      <w:keepNext/>
      <w:keepLines/>
      <w:spacing w:before="200" w:after="200"/>
    </w:pPr>
    <w:rPr>
      <w:rFonts w:ascii="Century Gothic" w:hAnsi="Century Gothic"/>
      <w:b/>
      <w:color w:val="0071B9"/>
    </w:rPr>
  </w:style>
  <w:style w:type="paragraph" w:customStyle="1" w:styleId="to-animate">
    <w:name w:val="to-animate"/>
    <w:basedOn w:val="Normal"/>
    <w:rsid w:val="00291E5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bltext">
    <w:name w:val="tbl text"/>
    <w:basedOn w:val="Normal"/>
    <w:link w:val="tbltextChar"/>
    <w:rsid w:val="00291E5E"/>
    <w:pPr>
      <w:widowControl w:val="0"/>
      <w:spacing w:before="120" w:after="0" w:line="240" w:lineRule="atLeast"/>
    </w:pPr>
    <w:rPr>
      <w:rFonts w:ascii="Arial" w:eastAsia="Times New Roman" w:hAnsi="Arial" w:cs="Arial"/>
      <w:sz w:val="18"/>
      <w:lang w:eastAsia="en-AU"/>
    </w:rPr>
  </w:style>
  <w:style w:type="character" w:customStyle="1" w:styleId="tbltextChar">
    <w:name w:val="tbl text Char"/>
    <w:basedOn w:val="DefaultParagraphFont"/>
    <w:link w:val="tbltext"/>
    <w:rsid w:val="00291E5E"/>
    <w:rPr>
      <w:rFonts w:ascii="Arial" w:eastAsia="Times New Roman" w:hAnsi="Arial" w:cs="Arial"/>
      <w:sz w:val="18"/>
      <w:szCs w:val="18"/>
      <w:lang w:eastAsia="en-AU"/>
    </w:rPr>
  </w:style>
  <w:style w:type="paragraph" w:customStyle="1" w:styleId="tablebullet">
    <w:name w:val="table bullet"/>
    <w:basedOn w:val="Normal"/>
    <w:rsid w:val="00291E5E"/>
    <w:pPr>
      <w:widowControl w:val="0"/>
      <w:numPr>
        <w:numId w:val="5"/>
      </w:numPr>
      <w:spacing w:before="60" w:after="0" w:line="240" w:lineRule="atLeast"/>
    </w:pPr>
    <w:rPr>
      <w:rFonts w:ascii="Arial" w:eastAsia="Times New Roman" w:hAnsi="Arial" w:cs="Arial"/>
      <w:sz w:val="18"/>
      <w:lang w:eastAsia="en-AU"/>
    </w:rPr>
  </w:style>
  <w:style w:type="paragraph" w:customStyle="1" w:styleId="tabledash">
    <w:name w:val="table dash"/>
    <w:basedOn w:val="tablebullet"/>
    <w:rsid w:val="00291E5E"/>
    <w:pPr>
      <w:numPr>
        <w:numId w:val="6"/>
      </w:numPr>
    </w:pPr>
  </w:style>
  <w:style w:type="paragraph" w:customStyle="1" w:styleId="StyleDescriptorRGBoldCustomColorRGB17125199">
    <w:name w:val="Style Descriptor RG + Bold Custom Color(RGB(17125199))"/>
    <w:basedOn w:val="Normal"/>
    <w:rsid w:val="00291E5E"/>
    <w:pPr>
      <w:pBdr>
        <w:top w:val="single" w:sz="4" w:space="4" w:color="0072CE"/>
        <w:left w:val="single" w:sz="4" w:space="4" w:color="0072CE"/>
        <w:bottom w:val="single" w:sz="4" w:space="4" w:color="0072CE"/>
        <w:right w:val="single" w:sz="4" w:space="4" w:color="0072CE"/>
      </w:pBdr>
      <w:spacing w:before="960"/>
      <w:ind w:left="2268"/>
    </w:pPr>
    <w:rPr>
      <w:rFonts w:ascii="Arial" w:eastAsia="Times New Roman" w:hAnsi="Arial" w:cs="Arial"/>
      <w:b/>
      <w:bCs/>
      <w:caps/>
      <w:color w:val="0072CE"/>
      <w:sz w:val="28"/>
      <w:szCs w:val="28"/>
      <w:lang w:eastAsia="en-AU"/>
    </w:rPr>
  </w:style>
  <w:style w:type="paragraph" w:customStyle="1" w:styleId="Pa17">
    <w:name w:val="Pa17"/>
    <w:basedOn w:val="Default"/>
    <w:next w:val="Default"/>
    <w:uiPriority w:val="99"/>
    <w:rsid w:val="00291E5E"/>
    <w:pPr>
      <w:spacing w:line="191" w:lineRule="atLeast"/>
    </w:pPr>
    <w:rPr>
      <w:rFonts w:ascii="Avenir LT Std 55 Roman" w:hAnsi="Avenir LT Std 55 Roman" w:cstheme="minorBidi"/>
      <w:color w:val="auto"/>
    </w:rPr>
  </w:style>
  <w:style w:type="character" w:customStyle="1" w:styleId="A8">
    <w:name w:val="A8"/>
    <w:uiPriority w:val="99"/>
    <w:rsid w:val="00291E5E"/>
    <w:rPr>
      <w:rFonts w:cs="Avenir LT Std 55 Roman"/>
      <w:color w:val="000000"/>
      <w:sz w:val="19"/>
      <w:szCs w:val="19"/>
      <w:u w:val="single"/>
    </w:rPr>
  </w:style>
  <w:style w:type="paragraph" w:customStyle="1" w:styleId="Pa3">
    <w:name w:val="Pa3"/>
    <w:basedOn w:val="Default"/>
    <w:next w:val="Default"/>
    <w:uiPriority w:val="99"/>
    <w:rsid w:val="00291E5E"/>
    <w:pPr>
      <w:spacing w:line="181" w:lineRule="atLeast"/>
    </w:pPr>
    <w:rPr>
      <w:rFonts w:ascii="Avenir Heavy" w:hAnsi="Avenir Heavy" w:cstheme="minorBidi"/>
      <w:color w:val="auto"/>
    </w:rPr>
  </w:style>
  <w:style w:type="character" w:customStyle="1" w:styleId="ParaLevel1Char">
    <w:name w:val="Para Level 1 Char"/>
    <w:basedOn w:val="DefaultParagraphFont"/>
    <w:link w:val="ParaLevel1"/>
    <w:uiPriority w:val="4"/>
    <w:locked/>
    <w:rsid w:val="00291E5E"/>
  </w:style>
  <w:style w:type="paragraph" w:customStyle="1" w:styleId="ParaLevel1">
    <w:name w:val="Para Level 1"/>
    <w:basedOn w:val="Normal"/>
    <w:link w:val="ParaLevel1Char"/>
    <w:uiPriority w:val="4"/>
    <w:rsid w:val="00291E5E"/>
    <w:pPr>
      <w:spacing w:before="200" w:after="0"/>
      <w:ind w:left="360" w:hanging="360"/>
    </w:pPr>
  </w:style>
  <w:style w:type="character" w:customStyle="1" w:styleId="Bullets2Char">
    <w:name w:val="Bullets 2 Char"/>
    <w:basedOn w:val="DefaultParagraphFont"/>
    <w:link w:val="Bullets2"/>
    <w:uiPriority w:val="5"/>
    <w:locked/>
    <w:rsid w:val="00291E5E"/>
    <w:rPr>
      <w:rFonts w:ascii="Century Gothic" w:hAnsi="Century Gothic" w:cs="Calibri"/>
    </w:rPr>
  </w:style>
  <w:style w:type="paragraph" w:customStyle="1" w:styleId="Bullets2">
    <w:name w:val="Bullets 2"/>
    <w:basedOn w:val="Normal"/>
    <w:link w:val="Bullets2Char"/>
    <w:uiPriority w:val="5"/>
    <w:rsid w:val="00291E5E"/>
    <w:pPr>
      <w:numPr>
        <w:numId w:val="7"/>
      </w:numPr>
      <w:spacing w:after="200"/>
      <w:contextualSpacing/>
    </w:pPr>
    <w:rPr>
      <w:rFonts w:cs="Calibri"/>
    </w:rPr>
  </w:style>
  <w:style w:type="paragraph" w:customStyle="1" w:styleId="ARH5Lowestlevelheading">
    <w:name w:val="AR H5 Lowest level heading"/>
    <w:basedOn w:val="Normal"/>
    <w:next w:val="ARBodyText"/>
    <w:link w:val="ARH5LowestlevelheadingChar"/>
    <w:qFormat/>
    <w:rsid w:val="00291E5E"/>
    <w:pPr>
      <w:keepNext/>
      <w:keepLines/>
      <w:spacing w:before="200" w:after="0" w:line="240" w:lineRule="atLeast"/>
      <w:outlineLvl w:val="4"/>
    </w:pPr>
    <w:rPr>
      <w:b/>
      <w:color w:val="7F7F7F" w:themeColor="text1" w:themeTint="80"/>
      <w:szCs w:val="20"/>
    </w:rPr>
  </w:style>
  <w:style w:type="character" w:customStyle="1" w:styleId="ARH5LowestlevelheadingChar">
    <w:name w:val="AR H5 Lowest level heading Char"/>
    <w:basedOn w:val="DefaultParagraphFont"/>
    <w:link w:val="ARH5Lowestlevelheading"/>
    <w:rsid w:val="00291E5E"/>
    <w:rPr>
      <w:rFonts w:ascii="Century Gothic" w:hAnsi="Century Gothic"/>
      <w:b/>
      <w:color w:val="7F7F7F" w:themeColor="text1" w:themeTint="80"/>
      <w:sz w:val="20"/>
      <w:szCs w:val="20"/>
    </w:rPr>
  </w:style>
  <w:style w:type="character" w:customStyle="1" w:styleId="A1">
    <w:name w:val="A1"/>
    <w:uiPriority w:val="99"/>
    <w:rsid w:val="00291E5E"/>
    <w:rPr>
      <w:rFonts w:cs="Avenir LT Std 35 Light"/>
      <w:color w:val="000000"/>
      <w:sz w:val="44"/>
      <w:szCs w:val="44"/>
    </w:rPr>
  </w:style>
  <w:style w:type="character" w:customStyle="1" w:styleId="e24kjd">
    <w:name w:val="e24kjd"/>
    <w:basedOn w:val="DefaultParagraphFont"/>
    <w:rsid w:val="00291E5E"/>
  </w:style>
  <w:style w:type="paragraph" w:customStyle="1" w:styleId="Bodybullets">
    <w:name w:val="Body bullets"/>
    <w:basedOn w:val="Normal"/>
    <w:uiPriority w:val="1"/>
    <w:qFormat/>
    <w:rsid w:val="00291E5E"/>
    <w:pPr>
      <w:widowControl w:val="0"/>
      <w:spacing w:before="120" w:after="120"/>
      <w:ind w:left="360" w:hanging="360"/>
    </w:pPr>
    <w:rPr>
      <w:rFonts w:eastAsia="Arial" w:cs="Arial"/>
      <w:lang w:val="en-US"/>
    </w:rPr>
  </w:style>
  <w:style w:type="paragraph" w:customStyle="1" w:styleId="subsection">
    <w:name w:val="subsection"/>
    <w:basedOn w:val="Normal"/>
    <w:rsid w:val="00291E5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
    <w:name w:val="paragraph"/>
    <w:basedOn w:val="Normal"/>
    <w:rsid w:val="00291E5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aragraphsub">
    <w:name w:val="paragraphsub"/>
    <w:basedOn w:val="Normal"/>
    <w:rsid w:val="00291E5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ARH2-Subsectionheading">
    <w:name w:val="AR H2 - Subsection heading"/>
    <w:basedOn w:val="Normal"/>
    <w:next w:val="ARBodyText"/>
    <w:link w:val="ARH2-SubsectionheadingChar"/>
    <w:qFormat/>
    <w:rsid w:val="00291E5E"/>
    <w:pPr>
      <w:keepNext/>
      <w:keepLines/>
      <w:pageBreakBefore/>
      <w:pBdr>
        <w:top w:val="single" w:sz="24" w:space="4" w:color="0072CE"/>
        <w:bottom w:val="single" w:sz="8" w:space="5" w:color="0072CE"/>
      </w:pBdr>
      <w:tabs>
        <w:tab w:val="num" w:pos="851"/>
      </w:tabs>
      <w:spacing w:after="200" w:line="276" w:lineRule="auto"/>
      <w:ind w:left="851" w:hanging="851"/>
      <w:outlineLvl w:val="1"/>
    </w:pPr>
    <w:rPr>
      <w:color w:val="0072CE"/>
      <w:sz w:val="28"/>
      <w:szCs w:val="32"/>
    </w:rPr>
  </w:style>
  <w:style w:type="character" w:customStyle="1" w:styleId="ARH2-SubsectionheadingChar">
    <w:name w:val="AR H2 - Subsection heading Char"/>
    <w:basedOn w:val="DefaultParagraphFont"/>
    <w:link w:val="ARH2-Subsectionheading"/>
    <w:rsid w:val="00291E5E"/>
    <w:rPr>
      <w:rFonts w:ascii="Century Gothic" w:hAnsi="Century Gothic"/>
      <w:color w:val="0072CE"/>
      <w:sz w:val="28"/>
      <w:szCs w:val="32"/>
    </w:rPr>
  </w:style>
  <w:style w:type="paragraph" w:customStyle="1" w:styleId="ARH4-Bodycopyheadinglevel2">
    <w:name w:val="AR H4 - Body copy heading level 2"/>
    <w:basedOn w:val="Normal"/>
    <w:link w:val="ARH4-Bodycopyheadinglevel2Char"/>
    <w:qFormat/>
    <w:rsid w:val="00EB5AF9"/>
    <w:pPr>
      <w:keepNext/>
      <w:keepLines/>
      <w:spacing w:before="360" w:after="0" w:line="240" w:lineRule="atLeast"/>
      <w:outlineLvl w:val="3"/>
    </w:pPr>
    <w:rPr>
      <w:bCs/>
      <w:color w:val="0072CE"/>
    </w:rPr>
  </w:style>
  <w:style w:type="character" w:customStyle="1" w:styleId="ARH4-Bodycopyheadinglevel2Char">
    <w:name w:val="AR H4 - Body copy heading level 2 Char"/>
    <w:basedOn w:val="DefaultParagraphFont"/>
    <w:link w:val="ARH4-Bodycopyheadinglevel2"/>
    <w:rsid w:val="00EB5AF9"/>
    <w:rPr>
      <w:rFonts w:ascii="Century Gothic" w:hAnsi="Century Gothic"/>
      <w:bCs/>
      <w:color w:val="0072CE"/>
      <w:sz w:val="20"/>
      <w:szCs w:val="18"/>
    </w:rPr>
  </w:style>
  <w:style w:type="paragraph" w:customStyle="1" w:styleId="ARTableFigureTitle">
    <w:name w:val="AR Table/Figure Title"/>
    <w:basedOn w:val="ARBodyText"/>
    <w:link w:val="ARTableFigureTitleChar"/>
    <w:qFormat/>
    <w:rsid w:val="00291E5E"/>
    <w:pPr>
      <w:keepNext/>
      <w:spacing w:before="200" w:after="120"/>
    </w:pPr>
    <w:rPr>
      <w:b/>
      <w:color w:val="0072CE"/>
      <w:szCs w:val="20"/>
    </w:rPr>
  </w:style>
  <w:style w:type="character" w:customStyle="1" w:styleId="ARTableFigureTitleChar">
    <w:name w:val="AR Table/Figure Title Char"/>
    <w:basedOn w:val="ARBodyTextChar"/>
    <w:link w:val="ARTableFigureTitle"/>
    <w:rsid w:val="00291E5E"/>
    <w:rPr>
      <w:rFonts w:ascii="Century Gothic" w:hAnsi="Century Gothic"/>
      <w:b/>
      <w:color w:val="0072CE"/>
      <w:sz w:val="20"/>
      <w:szCs w:val="20"/>
    </w:rPr>
  </w:style>
  <w:style w:type="paragraph" w:customStyle="1" w:styleId="ARTableSubhead">
    <w:name w:val="AR Table Subhead"/>
    <w:basedOn w:val="Normal"/>
    <w:link w:val="ARTableSubheadChar"/>
    <w:qFormat/>
    <w:rsid w:val="00B369CB"/>
    <w:pPr>
      <w:keepNext/>
      <w:spacing w:before="60" w:after="60" w:line="240" w:lineRule="atLeast"/>
    </w:pPr>
    <w:rPr>
      <w:b/>
      <w:color w:val="273C4E"/>
      <w:sz w:val="18"/>
      <w:szCs w:val="16"/>
    </w:rPr>
  </w:style>
  <w:style w:type="character" w:customStyle="1" w:styleId="ARTableSubheadChar">
    <w:name w:val="AR Table Subhead Char"/>
    <w:basedOn w:val="DefaultParagraphFont"/>
    <w:link w:val="ARTableSubhead"/>
    <w:rsid w:val="00B369CB"/>
    <w:rPr>
      <w:rFonts w:ascii="Century Gothic" w:hAnsi="Century Gothic"/>
      <w:b/>
      <w:color w:val="273C4E"/>
      <w:sz w:val="18"/>
      <w:szCs w:val="16"/>
    </w:rPr>
  </w:style>
  <w:style w:type="paragraph" w:customStyle="1" w:styleId="ARTableText">
    <w:name w:val="AR Table Text"/>
    <w:basedOn w:val="ARBodyText"/>
    <w:link w:val="ARTableTextChar"/>
    <w:qFormat/>
    <w:rsid w:val="00291E5E"/>
    <w:pPr>
      <w:spacing w:before="60" w:after="60"/>
    </w:pPr>
    <w:rPr>
      <w:sz w:val="18"/>
      <w:szCs w:val="16"/>
    </w:rPr>
  </w:style>
  <w:style w:type="character" w:customStyle="1" w:styleId="ARTableTextChar">
    <w:name w:val="AR Table Text Char"/>
    <w:basedOn w:val="ARBodyTextChar"/>
    <w:link w:val="ARTableText"/>
    <w:rsid w:val="00291E5E"/>
    <w:rPr>
      <w:rFonts w:ascii="Century Gothic" w:hAnsi="Century Gothic"/>
      <w:sz w:val="18"/>
      <w:szCs w:val="16"/>
    </w:rPr>
  </w:style>
  <w:style w:type="paragraph" w:customStyle="1" w:styleId="ARTableBullet">
    <w:name w:val="AR Table Bullet"/>
    <w:basedOn w:val="ARBulletListL1"/>
    <w:link w:val="ARTableBulletChar"/>
    <w:qFormat/>
    <w:rsid w:val="00291E5E"/>
    <w:pPr>
      <w:numPr>
        <w:numId w:val="10"/>
      </w:numPr>
      <w:tabs>
        <w:tab w:val="num" w:pos="284"/>
      </w:tabs>
      <w:spacing w:before="60" w:after="60" w:line="240" w:lineRule="auto"/>
      <w:ind w:left="284" w:hanging="284"/>
    </w:pPr>
    <w:rPr>
      <w:sz w:val="18"/>
      <w:szCs w:val="16"/>
    </w:rPr>
  </w:style>
  <w:style w:type="character" w:customStyle="1" w:styleId="ARTableBulletChar">
    <w:name w:val="AR Table Bullet Char"/>
    <w:basedOn w:val="ARBulletListL1Char"/>
    <w:link w:val="ARTableBullet"/>
    <w:rsid w:val="00291E5E"/>
    <w:rPr>
      <w:rFonts w:ascii="Century Gothic" w:hAnsi="Century Gothic"/>
      <w:sz w:val="18"/>
      <w:szCs w:val="16"/>
    </w:rPr>
  </w:style>
  <w:style w:type="paragraph" w:customStyle="1" w:styleId="ARShadedBoxHeader">
    <w:name w:val="AR Shaded Box Header"/>
    <w:basedOn w:val="ARBodyText"/>
    <w:link w:val="ARShadedBoxHeaderChar"/>
    <w:qFormat/>
    <w:rsid w:val="00291E5E"/>
    <w:pPr>
      <w:pBdr>
        <w:top w:val="single" w:sz="4" w:space="4" w:color="C2E3FA"/>
        <w:left w:val="single" w:sz="4" w:space="4" w:color="C2E3FA"/>
        <w:bottom w:val="single" w:sz="4" w:space="4" w:color="C2E3FA"/>
        <w:right w:val="single" w:sz="4" w:space="4" w:color="C2E3FA"/>
      </w:pBdr>
      <w:shd w:val="clear" w:color="auto" w:fill="C2E3FA"/>
      <w:ind w:left="142" w:right="95"/>
    </w:pPr>
    <w:rPr>
      <w:b/>
      <w:bCs/>
    </w:rPr>
  </w:style>
  <w:style w:type="paragraph" w:customStyle="1" w:styleId="ARShadedBoxText">
    <w:name w:val="AR Shaded Box Text"/>
    <w:basedOn w:val="ARBodyText"/>
    <w:link w:val="ARShadedBoxTextChar"/>
    <w:qFormat/>
    <w:rsid w:val="00291E5E"/>
    <w:pPr>
      <w:pBdr>
        <w:top w:val="single" w:sz="4" w:space="4" w:color="C2E3FA"/>
        <w:left w:val="single" w:sz="4" w:space="4" w:color="C2E3FA"/>
        <w:bottom w:val="single" w:sz="4" w:space="4" w:color="C2E3FA"/>
        <w:right w:val="single" w:sz="4" w:space="4" w:color="C2E3FA"/>
      </w:pBdr>
      <w:shd w:val="clear" w:color="auto" w:fill="C2E3FA"/>
      <w:ind w:left="142" w:right="95"/>
    </w:pPr>
  </w:style>
  <w:style w:type="character" w:customStyle="1" w:styleId="ARShadedBoxHeaderChar">
    <w:name w:val="AR Shaded Box Header Char"/>
    <w:basedOn w:val="ARBodyTextChar"/>
    <w:link w:val="ARShadedBoxHeader"/>
    <w:rsid w:val="00291E5E"/>
    <w:rPr>
      <w:rFonts w:ascii="Century Gothic" w:hAnsi="Century Gothic"/>
      <w:b/>
      <w:bCs/>
      <w:sz w:val="20"/>
      <w:szCs w:val="18"/>
      <w:shd w:val="clear" w:color="auto" w:fill="C2E3FA"/>
    </w:rPr>
  </w:style>
  <w:style w:type="paragraph" w:customStyle="1" w:styleId="ARShadedBoxBullet">
    <w:name w:val="AR Shaded Box Bullet"/>
    <w:basedOn w:val="ARBulletListL1"/>
    <w:link w:val="ARShadedBoxBulletChar"/>
    <w:qFormat/>
    <w:rsid w:val="00291E5E"/>
    <w:pPr>
      <w:pBdr>
        <w:top w:val="single" w:sz="4" w:space="4" w:color="C2E3FA"/>
        <w:left w:val="single" w:sz="4" w:space="4" w:color="C2E3FA"/>
        <w:bottom w:val="single" w:sz="4" w:space="4" w:color="C2E3FA"/>
        <w:right w:val="single" w:sz="4" w:space="4" w:color="C2E3FA"/>
      </w:pBdr>
      <w:shd w:val="clear" w:color="auto" w:fill="C2E3FA"/>
      <w:ind w:left="426" w:right="95"/>
    </w:pPr>
    <w:rPr>
      <w:iCs/>
    </w:rPr>
  </w:style>
  <w:style w:type="character" w:customStyle="1" w:styleId="ARShadedBoxTextChar">
    <w:name w:val="AR Shaded Box Text Char"/>
    <w:basedOn w:val="ARBodyTextChar"/>
    <w:link w:val="ARShadedBoxText"/>
    <w:rsid w:val="00291E5E"/>
    <w:rPr>
      <w:rFonts w:ascii="Century Gothic" w:hAnsi="Century Gothic"/>
      <w:sz w:val="20"/>
      <w:szCs w:val="18"/>
      <w:shd w:val="clear" w:color="auto" w:fill="C2E3FA"/>
    </w:rPr>
  </w:style>
  <w:style w:type="character" w:customStyle="1" w:styleId="ARShadedBoxBulletChar">
    <w:name w:val="AR Shaded Box Bullet Char"/>
    <w:basedOn w:val="ARBulletListL1Char"/>
    <w:link w:val="ARShadedBoxBullet"/>
    <w:rsid w:val="00291E5E"/>
    <w:rPr>
      <w:rFonts w:ascii="Century Gothic" w:hAnsi="Century Gothic"/>
      <w:iCs/>
      <w:sz w:val="20"/>
      <w:szCs w:val="18"/>
      <w:shd w:val="clear" w:color="auto" w:fill="C2E3FA"/>
    </w:rPr>
  </w:style>
  <w:style w:type="paragraph" w:customStyle="1" w:styleId="02body">
    <w:name w:val="_02_body"/>
    <w:basedOn w:val="Normal"/>
    <w:rsid w:val="00291E5E"/>
    <w:pPr>
      <w:spacing w:after="120"/>
    </w:pPr>
    <w:rPr>
      <w:rFonts w:eastAsiaTheme="minorEastAsia" w:cs="Times New Roman"/>
      <w:sz w:val="18"/>
      <w:szCs w:val="24"/>
    </w:rPr>
  </w:style>
  <w:style w:type="paragraph" w:customStyle="1" w:styleId="Tablea">
    <w:name w:val="Table(a)"/>
    <w:aliases w:val="ta"/>
    <w:basedOn w:val="Normal"/>
    <w:rsid w:val="00291E5E"/>
    <w:pPr>
      <w:spacing w:before="60" w:after="0"/>
      <w:ind w:left="284" w:hanging="284"/>
    </w:pPr>
    <w:rPr>
      <w:rFonts w:ascii="Times New Roman" w:eastAsia="Times New Roman" w:hAnsi="Times New Roman" w:cs="Times New Roman"/>
      <w:szCs w:val="20"/>
      <w:lang w:eastAsia="en-AU"/>
    </w:rPr>
  </w:style>
  <w:style w:type="paragraph" w:customStyle="1" w:styleId="Tabletext1">
    <w:name w:val="Tabletext"/>
    <w:aliases w:val="tt"/>
    <w:basedOn w:val="Normal"/>
    <w:rsid w:val="00291E5E"/>
    <w:pPr>
      <w:spacing w:before="60" w:after="0" w:line="240" w:lineRule="atLeast"/>
    </w:pPr>
    <w:rPr>
      <w:rFonts w:ascii="Times New Roman" w:eastAsia="Times New Roman" w:hAnsi="Times New Roman" w:cs="Times New Roman"/>
      <w:szCs w:val="20"/>
      <w:lang w:eastAsia="en-AU"/>
    </w:rPr>
  </w:style>
  <w:style w:type="paragraph" w:styleId="TOC4">
    <w:name w:val="toc 4"/>
    <w:basedOn w:val="Normal"/>
    <w:next w:val="Normal"/>
    <w:autoRedefine/>
    <w:uiPriority w:val="39"/>
    <w:unhideWhenUsed/>
    <w:rsid w:val="00291E5E"/>
    <w:pPr>
      <w:spacing w:after="100"/>
      <w:ind w:left="660"/>
    </w:pPr>
    <w:rPr>
      <w:rFonts w:eastAsiaTheme="minorEastAsia"/>
      <w:lang w:eastAsia="en-AU"/>
    </w:rPr>
  </w:style>
  <w:style w:type="paragraph" w:styleId="TOC5">
    <w:name w:val="toc 5"/>
    <w:basedOn w:val="Normal"/>
    <w:next w:val="Normal"/>
    <w:autoRedefine/>
    <w:uiPriority w:val="39"/>
    <w:unhideWhenUsed/>
    <w:rsid w:val="00291E5E"/>
    <w:pPr>
      <w:spacing w:after="100"/>
      <w:ind w:left="880"/>
    </w:pPr>
    <w:rPr>
      <w:rFonts w:eastAsiaTheme="minorEastAsia"/>
      <w:lang w:eastAsia="en-AU"/>
    </w:rPr>
  </w:style>
  <w:style w:type="paragraph" w:styleId="TOC6">
    <w:name w:val="toc 6"/>
    <w:basedOn w:val="Normal"/>
    <w:next w:val="Normal"/>
    <w:autoRedefine/>
    <w:uiPriority w:val="39"/>
    <w:unhideWhenUsed/>
    <w:rsid w:val="00291E5E"/>
    <w:pPr>
      <w:spacing w:after="100"/>
      <w:ind w:left="1100"/>
    </w:pPr>
    <w:rPr>
      <w:rFonts w:eastAsiaTheme="minorEastAsia"/>
      <w:lang w:eastAsia="en-AU"/>
    </w:rPr>
  </w:style>
  <w:style w:type="paragraph" w:styleId="TOC7">
    <w:name w:val="toc 7"/>
    <w:basedOn w:val="Normal"/>
    <w:next w:val="Normal"/>
    <w:autoRedefine/>
    <w:uiPriority w:val="39"/>
    <w:unhideWhenUsed/>
    <w:rsid w:val="00291E5E"/>
    <w:pPr>
      <w:spacing w:after="100"/>
      <w:ind w:left="1320"/>
    </w:pPr>
    <w:rPr>
      <w:rFonts w:eastAsiaTheme="minorEastAsia"/>
      <w:lang w:eastAsia="en-AU"/>
    </w:rPr>
  </w:style>
  <w:style w:type="paragraph" w:styleId="TOC8">
    <w:name w:val="toc 8"/>
    <w:basedOn w:val="Normal"/>
    <w:next w:val="Normal"/>
    <w:autoRedefine/>
    <w:uiPriority w:val="39"/>
    <w:unhideWhenUsed/>
    <w:rsid w:val="00291E5E"/>
    <w:pPr>
      <w:spacing w:after="100"/>
      <w:ind w:left="1540"/>
    </w:pPr>
    <w:rPr>
      <w:rFonts w:eastAsiaTheme="minorEastAsia"/>
      <w:lang w:eastAsia="en-AU"/>
    </w:rPr>
  </w:style>
  <w:style w:type="paragraph" w:styleId="TOC9">
    <w:name w:val="toc 9"/>
    <w:basedOn w:val="Normal"/>
    <w:next w:val="Normal"/>
    <w:autoRedefine/>
    <w:uiPriority w:val="39"/>
    <w:unhideWhenUsed/>
    <w:rsid w:val="00291E5E"/>
    <w:pPr>
      <w:spacing w:after="100"/>
      <w:ind w:left="1760"/>
    </w:pPr>
    <w:rPr>
      <w:rFonts w:eastAsiaTheme="minorEastAsia"/>
      <w:lang w:eastAsia="en-AU"/>
    </w:rPr>
  </w:style>
  <w:style w:type="paragraph" w:customStyle="1" w:styleId="TableHeading">
    <w:name w:val="Table Heading"/>
    <w:basedOn w:val="Normal"/>
    <w:next w:val="TableGraphic"/>
    <w:link w:val="TableHeadingChar"/>
    <w:rsid w:val="00291E5E"/>
    <w:pPr>
      <w:keepNext/>
      <w:spacing w:after="20"/>
    </w:pPr>
    <w:rPr>
      <w:rFonts w:ascii="Arial" w:eastAsia="Times New Roman" w:hAnsi="Arial" w:cs="Times New Roman"/>
      <w:b/>
      <w:color w:val="000000"/>
      <w:szCs w:val="20"/>
      <w:lang w:val="x-none" w:eastAsia="x-none"/>
    </w:rPr>
  </w:style>
  <w:style w:type="paragraph" w:customStyle="1" w:styleId="TableGraphic">
    <w:name w:val="Table Graphic"/>
    <w:basedOn w:val="Normal"/>
    <w:next w:val="Normal"/>
    <w:rsid w:val="00291E5E"/>
    <w:pPr>
      <w:spacing w:after="0"/>
      <w:ind w:right="-113"/>
      <w:jc w:val="both"/>
    </w:pPr>
    <w:rPr>
      <w:rFonts w:ascii="Book Antiqua" w:eastAsia="Times New Roman" w:hAnsi="Book Antiqua" w:cs="Times New Roman"/>
      <w:szCs w:val="20"/>
      <w:lang w:eastAsia="en-AU"/>
    </w:rPr>
  </w:style>
  <w:style w:type="character" w:customStyle="1" w:styleId="TableHeadingChar">
    <w:name w:val="Table Heading Char"/>
    <w:link w:val="TableHeading"/>
    <w:rsid w:val="00291E5E"/>
    <w:rPr>
      <w:rFonts w:ascii="Arial" w:eastAsia="Times New Roman" w:hAnsi="Arial" w:cs="Times New Roman"/>
      <w:b/>
      <w:color w:val="000000"/>
      <w:sz w:val="20"/>
      <w:szCs w:val="20"/>
      <w:lang w:val="x-none" w:eastAsia="x-none"/>
    </w:rPr>
  </w:style>
  <w:style w:type="paragraph" w:customStyle="1" w:styleId="ARH3-Bodycopyheadinglevel2">
    <w:name w:val="AR H3 - Body copy heading level 2"/>
    <w:basedOn w:val="Normal"/>
    <w:link w:val="ARH3-Bodycopyheadinglevel2Char"/>
    <w:qFormat/>
    <w:rsid w:val="00291E5E"/>
    <w:pPr>
      <w:keepNext/>
      <w:keepLines/>
      <w:spacing w:before="200" w:after="200" w:line="240" w:lineRule="atLeast"/>
      <w:outlineLvl w:val="2"/>
    </w:pPr>
    <w:rPr>
      <w:b/>
      <w:color w:val="0071B9"/>
      <w:sz w:val="24"/>
    </w:rPr>
  </w:style>
  <w:style w:type="character" w:customStyle="1" w:styleId="ARH3-Bodycopyheadinglevel2Char">
    <w:name w:val="AR H3 - Body copy heading level 2 Char"/>
    <w:basedOn w:val="DefaultParagraphFont"/>
    <w:link w:val="ARH3-Bodycopyheadinglevel2"/>
    <w:rsid w:val="00291E5E"/>
    <w:rPr>
      <w:rFonts w:ascii="Century Gothic" w:hAnsi="Century Gothic"/>
      <w:b/>
      <w:color w:val="0071B9"/>
      <w:sz w:val="24"/>
    </w:rPr>
  </w:style>
  <w:style w:type="paragraph" w:customStyle="1" w:styleId="ARH2-Bodycopyheadinglevel1">
    <w:name w:val="AR H2 - Body copy heading level 1"/>
    <w:basedOn w:val="Heading2"/>
    <w:next w:val="Normal"/>
    <w:link w:val="ARH2-Bodycopyheadinglevel1Char"/>
    <w:qFormat/>
    <w:rsid w:val="00D579F2"/>
    <w:pPr>
      <w:spacing w:before="360" w:after="200"/>
    </w:pPr>
    <w:rPr>
      <w:rFonts w:ascii="Century Gothic" w:eastAsiaTheme="minorHAnsi" w:hAnsi="Century Gothic" w:cstheme="minorBidi"/>
      <w:b/>
      <w:color w:val="273C4E"/>
      <w:sz w:val="28"/>
      <w:szCs w:val="24"/>
    </w:rPr>
  </w:style>
  <w:style w:type="character" w:customStyle="1" w:styleId="ARH2-Bodycopyheadinglevel1Char">
    <w:name w:val="AR H2 - Body copy heading level 1 Char"/>
    <w:basedOn w:val="DefaultParagraphFont"/>
    <w:link w:val="ARH2-Bodycopyheadinglevel1"/>
    <w:rsid w:val="00D579F2"/>
    <w:rPr>
      <w:rFonts w:ascii="Century Gothic" w:hAnsi="Century Gothic"/>
      <w:b/>
      <w:color w:val="273C4E"/>
      <w:sz w:val="28"/>
      <w:szCs w:val="24"/>
    </w:rPr>
  </w:style>
  <w:style w:type="paragraph" w:customStyle="1" w:styleId="CaseStudyText">
    <w:name w:val="Case Study Text"/>
    <w:basedOn w:val="Normal"/>
    <w:link w:val="CaseStudyTextChar"/>
    <w:qFormat/>
    <w:rsid w:val="00291E5E"/>
    <w:pPr>
      <w:spacing w:after="200"/>
      <w:ind w:left="11"/>
    </w:pPr>
    <w:rPr>
      <w:rFonts w:eastAsia="Calibri" w:cs="Times New Roman"/>
      <w:color w:val="1F3864" w:themeColor="accent1" w:themeShade="80"/>
      <w:sz w:val="21"/>
      <w:szCs w:val="20"/>
    </w:rPr>
  </w:style>
  <w:style w:type="character" w:customStyle="1" w:styleId="CaseStudyTextChar">
    <w:name w:val="Case Study Text Char"/>
    <w:basedOn w:val="DefaultParagraphFont"/>
    <w:link w:val="CaseStudyText"/>
    <w:rsid w:val="00291E5E"/>
    <w:rPr>
      <w:rFonts w:ascii="Century Gothic" w:eastAsia="Calibri" w:hAnsi="Century Gothic" w:cs="Times New Roman"/>
      <w:color w:val="1F3864" w:themeColor="accent1" w:themeShade="80"/>
      <w:sz w:val="21"/>
      <w:szCs w:val="20"/>
    </w:rPr>
  </w:style>
  <w:style w:type="paragraph" w:customStyle="1" w:styleId="CaseStudyList">
    <w:name w:val="Case Study List"/>
    <w:basedOn w:val="Normal"/>
    <w:link w:val="CaseStudyListChar"/>
    <w:qFormat/>
    <w:rsid w:val="00291E5E"/>
    <w:pPr>
      <w:spacing w:after="80"/>
      <w:ind w:left="720" w:right="403" w:hanging="360"/>
    </w:pPr>
    <w:rPr>
      <w:color w:val="1F3864" w:themeColor="accent1" w:themeShade="80"/>
      <w:sz w:val="21"/>
      <w:szCs w:val="21"/>
    </w:rPr>
  </w:style>
  <w:style w:type="character" w:customStyle="1" w:styleId="CaseStudyListChar">
    <w:name w:val="Case Study List Char"/>
    <w:basedOn w:val="ListParagraphChar"/>
    <w:link w:val="CaseStudyList"/>
    <w:rsid w:val="00291E5E"/>
    <w:rPr>
      <w:rFonts w:ascii="Century Gothic" w:hAnsi="Century Gothic"/>
      <w:color w:val="1F3864" w:themeColor="accent1" w:themeShade="80"/>
      <w:sz w:val="21"/>
      <w:szCs w:val="21"/>
    </w:rPr>
  </w:style>
  <w:style w:type="paragraph" w:customStyle="1" w:styleId="ARH4Coloured">
    <w:name w:val="AR H4 Coloured"/>
    <w:basedOn w:val="Normal"/>
    <w:link w:val="ARH4ColouredChar"/>
    <w:qFormat/>
    <w:rsid w:val="00291E5E"/>
    <w:pPr>
      <w:keepNext/>
      <w:keepLines/>
      <w:spacing w:before="200" w:after="200" w:line="240" w:lineRule="atLeast"/>
      <w:outlineLvl w:val="3"/>
    </w:pPr>
    <w:rPr>
      <w:b/>
      <w:color w:val="0072CE"/>
    </w:rPr>
  </w:style>
  <w:style w:type="character" w:customStyle="1" w:styleId="ARH4ColouredChar">
    <w:name w:val="AR H4 Coloured Char"/>
    <w:basedOn w:val="DefaultParagraphFont"/>
    <w:link w:val="ARH4Coloured"/>
    <w:rsid w:val="00291E5E"/>
    <w:rPr>
      <w:rFonts w:ascii="Century Gothic" w:hAnsi="Century Gothic"/>
      <w:b/>
      <w:color w:val="0072CE"/>
    </w:rPr>
  </w:style>
  <w:style w:type="paragraph" w:customStyle="1" w:styleId="CaseStudyHeading">
    <w:name w:val="Case Study Heading"/>
    <w:basedOn w:val="ARH3-Bodycopyheadinglevel2"/>
    <w:next w:val="CaseStudyText"/>
    <w:link w:val="CaseStudyHeadingChar"/>
    <w:qFormat/>
    <w:rsid w:val="00291E5E"/>
    <w:rPr>
      <w:rFonts w:eastAsiaTheme="majorEastAsia" w:cstheme="majorBidi"/>
      <w:color w:val="1F3864" w:themeColor="accent1" w:themeShade="80"/>
      <w:szCs w:val="32"/>
    </w:rPr>
  </w:style>
  <w:style w:type="character" w:customStyle="1" w:styleId="CaseStudyHeadingChar">
    <w:name w:val="Case Study Heading Char"/>
    <w:basedOn w:val="Heading1Char"/>
    <w:link w:val="CaseStudyHeading"/>
    <w:rsid w:val="00291E5E"/>
    <w:rPr>
      <w:rFonts w:ascii="Century Gothic" w:eastAsiaTheme="majorEastAsia" w:hAnsi="Century Gothic" w:cstheme="majorBidi"/>
      <w:b/>
      <w:i w:val="0"/>
      <w:color w:val="1F3864" w:themeColor="accent1" w:themeShade="80"/>
      <w:sz w:val="24"/>
      <w:szCs w:val="32"/>
    </w:rPr>
  </w:style>
  <w:style w:type="paragraph" w:styleId="BodyText">
    <w:name w:val="Body Text"/>
    <w:basedOn w:val="Normal"/>
    <w:link w:val="BodyTextChar"/>
    <w:uiPriority w:val="1"/>
    <w:qFormat/>
    <w:rsid w:val="00291E5E"/>
    <w:pPr>
      <w:widowControl w:val="0"/>
      <w:spacing w:after="0"/>
      <w:ind w:left="113"/>
    </w:pPr>
    <w:rPr>
      <w:rFonts w:ascii="Avenir LT Std 55 Roman" w:eastAsia="Avenir LT Std 55 Roman" w:hAnsi="Avenir LT Std 55 Roman"/>
      <w:sz w:val="18"/>
      <w:lang w:val="en-US"/>
    </w:rPr>
  </w:style>
  <w:style w:type="character" w:customStyle="1" w:styleId="BodyTextChar">
    <w:name w:val="Body Text Char"/>
    <w:basedOn w:val="DefaultParagraphFont"/>
    <w:link w:val="BodyText"/>
    <w:uiPriority w:val="1"/>
    <w:rsid w:val="00291E5E"/>
    <w:rPr>
      <w:rFonts w:ascii="Avenir LT Std 55 Roman" w:eastAsia="Avenir LT Std 55 Roman" w:hAnsi="Avenir LT Std 55 Roman"/>
      <w:sz w:val="18"/>
      <w:szCs w:val="18"/>
      <w:lang w:val="en-US"/>
    </w:rPr>
  </w:style>
  <w:style w:type="paragraph" w:styleId="BodyTextIndent">
    <w:name w:val="Body Text Indent"/>
    <w:basedOn w:val="Normal"/>
    <w:link w:val="BodyTextIndentChar"/>
    <w:uiPriority w:val="99"/>
    <w:semiHidden/>
    <w:unhideWhenUsed/>
    <w:rsid w:val="00291E5E"/>
    <w:pPr>
      <w:spacing w:after="120"/>
      <w:ind w:left="283"/>
    </w:pPr>
  </w:style>
  <w:style w:type="character" w:customStyle="1" w:styleId="BodyTextIndentChar">
    <w:name w:val="Body Text Indent Char"/>
    <w:basedOn w:val="DefaultParagraphFont"/>
    <w:link w:val="BodyTextIndent"/>
    <w:uiPriority w:val="99"/>
    <w:semiHidden/>
    <w:rsid w:val="00291E5E"/>
    <w:rPr>
      <w:rFonts w:ascii="Century Gothic" w:hAnsi="Century Gothic"/>
    </w:rPr>
  </w:style>
  <w:style w:type="paragraph" w:customStyle="1" w:styleId="Pa18">
    <w:name w:val="Pa18"/>
    <w:basedOn w:val="Default"/>
    <w:next w:val="Default"/>
    <w:uiPriority w:val="99"/>
    <w:rsid w:val="00291E5E"/>
    <w:pPr>
      <w:spacing w:line="201" w:lineRule="atLeast"/>
    </w:pPr>
    <w:rPr>
      <w:rFonts w:ascii="Avenir 65 Medium" w:hAnsi="Avenir 65 Medium" w:cstheme="minorBidi"/>
      <w:color w:val="auto"/>
    </w:rPr>
  </w:style>
  <w:style w:type="paragraph" w:customStyle="1" w:styleId="Pa22">
    <w:name w:val="Pa22"/>
    <w:basedOn w:val="Default"/>
    <w:next w:val="Default"/>
    <w:uiPriority w:val="99"/>
    <w:rsid w:val="00291E5E"/>
    <w:pPr>
      <w:spacing w:line="181" w:lineRule="atLeast"/>
    </w:pPr>
    <w:rPr>
      <w:rFonts w:ascii="Avenir 65 Medium" w:hAnsi="Avenir 65 Medium" w:cstheme="minorBidi"/>
      <w:color w:val="auto"/>
    </w:rPr>
  </w:style>
  <w:style w:type="paragraph" w:customStyle="1" w:styleId="Pa23">
    <w:name w:val="Pa23"/>
    <w:basedOn w:val="Default"/>
    <w:next w:val="Default"/>
    <w:uiPriority w:val="99"/>
    <w:rsid w:val="00291E5E"/>
    <w:pPr>
      <w:spacing w:line="181" w:lineRule="atLeast"/>
    </w:pPr>
    <w:rPr>
      <w:rFonts w:ascii="Avenir 65 Medium" w:hAnsi="Avenir 65 Medium" w:cstheme="minorBidi"/>
      <w:color w:val="auto"/>
    </w:rPr>
  </w:style>
  <w:style w:type="character" w:customStyle="1" w:styleId="A16">
    <w:name w:val="A16"/>
    <w:uiPriority w:val="99"/>
    <w:rsid w:val="00291E5E"/>
    <w:rPr>
      <w:rFonts w:ascii="Avenir 55 Roman" w:hAnsi="Avenir 55 Roman" w:cs="Avenir 55 Roman"/>
      <w:color w:val="000000"/>
      <w:sz w:val="10"/>
      <w:szCs w:val="10"/>
    </w:rPr>
  </w:style>
  <w:style w:type="paragraph" w:customStyle="1" w:styleId="ARBodyList1">
    <w:name w:val="AR Body List 1"/>
    <w:basedOn w:val="ARBulletListL1"/>
    <w:link w:val="ARBodyList1Char"/>
    <w:qFormat/>
    <w:rsid w:val="00291E5E"/>
    <w:pPr>
      <w:numPr>
        <w:numId w:val="0"/>
      </w:numPr>
      <w:tabs>
        <w:tab w:val="num" w:pos="284"/>
      </w:tabs>
      <w:spacing w:before="60"/>
      <w:ind w:left="284" w:right="403" w:hanging="284"/>
    </w:pPr>
    <w:rPr>
      <w:color w:val="273C4E"/>
      <w:sz w:val="18"/>
    </w:rPr>
  </w:style>
  <w:style w:type="character" w:customStyle="1" w:styleId="ARBodyList1Char">
    <w:name w:val="AR Body List 1 Char"/>
    <w:basedOn w:val="ARBulletListL1Char"/>
    <w:link w:val="ARBodyList1"/>
    <w:rsid w:val="00291E5E"/>
    <w:rPr>
      <w:rFonts w:ascii="Century Gothic" w:hAnsi="Century Gothic"/>
      <w:color w:val="273C4E"/>
      <w:sz w:val="18"/>
      <w:szCs w:val="18"/>
    </w:rPr>
  </w:style>
  <w:style w:type="paragraph" w:customStyle="1" w:styleId="03TableFigures">
    <w:name w:val="03_Table Figures"/>
    <w:basedOn w:val="Normal"/>
    <w:uiPriority w:val="99"/>
    <w:rsid w:val="00291E5E"/>
    <w:pPr>
      <w:widowControl w:val="0"/>
      <w:tabs>
        <w:tab w:val="left" w:pos="170"/>
        <w:tab w:val="left" w:pos="340"/>
      </w:tabs>
      <w:suppressAutoHyphens/>
      <w:autoSpaceDE w:val="0"/>
      <w:autoSpaceDN w:val="0"/>
      <w:adjustRightInd w:val="0"/>
      <w:spacing w:after="28" w:line="200" w:lineRule="atLeast"/>
      <w:ind w:right="403"/>
      <w:jc w:val="right"/>
      <w:textAlignment w:val="center"/>
    </w:pPr>
    <w:rPr>
      <w:rFonts w:ascii="ArialMT" w:eastAsia="Times New Roman" w:hAnsi="ArialMT" w:cs="ArialMT"/>
      <w:color w:val="000000"/>
      <w:sz w:val="18"/>
      <w:szCs w:val="17"/>
      <w:lang w:val="en-GB" w:eastAsia="en-GB"/>
    </w:rPr>
  </w:style>
  <w:style w:type="paragraph" w:customStyle="1" w:styleId="ARFootnote">
    <w:name w:val="AR Footnote"/>
    <w:basedOn w:val="FootnoteText"/>
    <w:qFormat/>
    <w:rsid w:val="00291E5E"/>
    <w:pPr>
      <w:ind w:right="403"/>
    </w:pPr>
    <w:rPr>
      <w:rFonts w:eastAsiaTheme="minorHAnsi" w:cstheme="minorBidi"/>
      <w:sz w:val="16"/>
    </w:rPr>
  </w:style>
  <w:style w:type="paragraph" w:customStyle="1" w:styleId="ARItalicBodyText">
    <w:name w:val="AR Italic Body Text"/>
    <w:basedOn w:val="ARBodyText"/>
    <w:link w:val="ARItalicBodyTextChar"/>
    <w:qFormat/>
    <w:rsid w:val="00291E5E"/>
    <w:pPr>
      <w:ind w:right="403"/>
    </w:pPr>
    <w:rPr>
      <w:i/>
      <w:color w:val="273C4E"/>
      <w:sz w:val="16"/>
    </w:rPr>
  </w:style>
  <w:style w:type="character" w:customStyle="1" w:styleId="ARItalicBodyTextChar">
    <w:name w:val="AR Italic Body Text Char"/>
    <w:basedOn w:val="ARBodyTextChar"/>
    <w:link w:val="ARItalicBodyText"/>
    <w:rsid w:val="00291E5E"/>
    <w:rPr>
      <w:rFonts w:ascii="Century Gothic" w:hAnsi="Century Gothic"/>
      <w:i/>
      <w:color w:val="273C4E"/>
      <w:sz w:val="16"/>
      <w:szCs w:val="18"/>
    </w:rPr>
  </w:style>
  <w:style w:type="paragraph" w:customStyle="1" w:styleId="ARH5-Bodycopyheadinglevel3">
    <w:name w:val="AR H5 - Body copy heading level 3"/>
    <w:basedOn w:val="Normal"/>
    <w:next w:val="ARBodyText"/>
    <w:link w:val="ARH5-Bodycopyheadinglevel3Char"/>
    <w:qFormat/>
    <w:rsid w:val="00291E5E"/>
    <w:pPr>
      <w:keepNext/>
      <w:keepLines/>
      <w:spacing w:before="200" w:after="0" w:line="240" w:lineRule="atLeast"/>
      <w:ind w:right="403"/>
      <w:outlineLvl w:val="4"/>
    </w:pPr>
    <w:rPr>
      <w:b/>
      <w:color w:val="273C4E"/>
      <w:sz w:val="24"/>
      <w:szCs w:val="20"/>
    </w:rPr>
  </w:style>
  <w:style w:type="character" w:customStyle="1" w:styleId="ARH5-Bodycopyheadinglevel3Char">
    <w:name w:val="AR H5 - Body copy heading level 3 Char"/>
    <w:basedOn w:val="DefaultParagraphFont"/>
    <w:link w:val="ARH5-Bodycopyheadinglevel3"/>
    <w:rsid w:val="00291E5E"/>
    <w:rPr>
      <w:rFonts w:ascii="Century Gothic" w:hAnsi="Century Gothic"/>
      <w:b/>
      <w:color w:val="273C4E"/>
      <w:sz w:val="24"/>
      <w:szCs w:val="20"/>
    </w:rPr>
  </w:style>
  <w:style w:type="paragraph" w:customStyle="1" w:styleId="02bodyr">
    <w:name w:val="_02_body_r"/>
    <w:basedOn w:val="Normal"/>
    <w:rsid w:val="00291E5E"/>
    <w:pPr>
      <w:spacing w:before="100" w:beforeAutospacing="1" w:after="100" w:afterAutospacing="1"/>
      <w:ind w:right="403"/>
    </w:pPr>
    <w:rPr>
      <w:rFonts w:eastAsiaTheme="minorEastAsia" w:cs="Times New Roman"/>
      <w:sz w:val="18"/>
      <w:szCs w:val="24"/>
    </w:rPr>
  </w:style>
  <w:style w:type="paragraph" w:customStyle="1" w:styleId="Pa13">
    <w:name w:val="Pa13"/>
    <w:basedOn w:val="Default"/>
    <w:next w:val="Default"/>
    <w:uiPriority w:val="99"/>
    <w:rsid w:val="00291E5E"/>
    <w:pPr>
      <w:spacing w:line="181" w:lineRule="atLeast"/>
    </w:pPr>
    <w:rPr>
      <w:rFonts w:ascii="Avenir 55 Roman" w:hAnsi="Avenir 55 Roman" w:cstheme="minorBidi"/>
      <w:color w:val="auto"/>
    </w:rPr>
  </w:style>
  <w:style w:type="table" w:customStyle="1" w:styleId="ASICAnnualReport">
    <w:name w:val="ASIC Annual Report"/>
    <w:basedOn w:val="TableNormal"/>
    <w:uiPriority w:val="99"/>
    <w:rsid w:val="00291E5E"/>
    <w:pPr>
      <w:spacing w:after="0" w:line="240" w:lineRule="auto"/>
    </w:pPr>
    <w:tblPr/>
  </w:style>
  <w:style w:type="character" w:styleId="PlaceholderText">
    <w:name w:val="Placeholder Text"/>
    <w:basedOn w:val="DefaultParagraphFont"/>
    <w:uiPriority w:val="99"/>
    <w:semiHidden/>
    <w:rsid w:val="00291E5E"/>
    <w:rPr>
      <w:color w:val="808080"/>
    </w:rPr>
  </w:style>
  <w:style w:type="paragraph" w:customStyle="1" w:styleId="Pa2">
    <w:name w:val="Pa2"/>
    <w:basedOn w:val="Default"/>
    <w:next w:val="Default"/>
    <w:uiPriority w:val="99"/>
    <w:rsid w:val="00291E5E"/>
    <w:pPr>
      <w:spacing w:line="181" w:lineRule="atLeast"/>
    </w:pPr>
    <w:rPr>
      <w:rFonts w:ascii="Avenir Light" w:hAnsi="Avenir Light" w:cstheme="minorBidi"/>
      <w:color w:val="auto"/>
    </w:rPr>
  </w:style>
  <w:style w:type="character" w:customStyle="1" w:styleId="A12">
    <w:name w:val="A12"/>
    <w:uiPriority w:val="99"/>
    <w:rsid w:val="00291E5E"/>
    <w:rPr>
      <w:rFonts w:ascii="Avenir Heavy" w:hAnsi="Avenir Heavy" w:cs="Avenir Heavy"/>
      <w:b/>
      <w:bCs/>
      <w:i/>
      <w:iCs/>
      <w:color w:val="233645"/>
      <w:sz w:val="18"/>
      <w:szCs w:val="18"/>
      <w:u w:val="single"/>
    </w:rPr>
  </w:style>
  <w:style w:type="paragraph" w:customStyle="1" w:styleId="Subject">
    <w:name w:val="Subject"/>
    <w:basedOn w:val="Normal"/>
    <w:next w:val="Normal"/>
    <w:rsid w:val="00291E5E"/>
    <w:pPr>
      <w:overflowPunct w:val="0"/>
      <w:autoSpaceDE w:val="0"/>
      <w:autoSpaceDN w:val="0"/>
      <w:adjustRightInd w:val="0"/>
      <w:spacing w:after="0"/>
      <w:textAlignment w:val="baseline"/>
    </w:pPr>
    <w:rPr>
      <w:rFonts w:ascii="Times New Roman" w:eastAsia="Times New Roman" w:hAnsi="Times New Roman" w:cs="Times New Roman"/>
      <w:b/>
      <w:caps/>
      <w:sz w:val="24"/>
      <w:szCs w:val="20"/>
    </w:rPr>
  </w:style>
  <w:style w:type="paragraph" w:customStyle="1" w:styleId="Pa5">
    <w:name w:val="Pa5"/>
    <w:basedOn w:val="Normal"/>
    <w:uiPriority w:val="99"/>
    <w:rsid w:val="00291E5E"/>
    <w:pPr>
      <w:autoSpaceDE w:val="0"/>
      <w:autoSpaceDN w:val="0"/>
      <w:spacing w:after="0" w:line="321" w:lineRule="atLeast"/>
    </w:pPr>
    <w:rPr>
      <w:rFonts w:ascii="Noyh Geometric SemiLight" w:hAnsi="Noyh Geometric SemiLight" w:cs="Calibri"/>
      <w:sz w:val="24"/>
      <w:szCs w:val="24"/>
    </w:rPr>
  </w:style>
  <w:style w:type="paragraph" w:customStyle="1" w:styleId="Pa20">
    <w:name w:val="Pa20"/>
    <w:basedOn w:val="Default"/>
    <w:next w:val="Default"/>
    <w:uiPriority w:val="99"/>
    <w:rsid w:val="00291E5E"/>
    <w:pPr>
      <w:spacing w:line="181" w:lineRule="atLeast"/>
    </w:pPr>
    <w:rPr>
      <w:rFonts w:ascii="Noyh Geometric Light" w:hAnsi="Noyh Geometric Light" w:cs="Swiss721BT-Light"/>
      <w:spacing w:val="-2"/>
    </w:rPr>
  </w:style>
  <w:style w:type="paragraph" w:customStyle="1" w:styleId="Pa14">
    <w:name w:val="Pa14"/>
    <w:basedOn w:val="Default"/>
    <w:next w:val="Default"/>
    <w:uiPriority w:val="99"/>
    <w:rsid w:val="00291E5E"/>
    <w:pPr>
      <w:spacing w:line="181" w:lineRule="atLeast"/>
    </w:pPr>
    <w:rPr>
      <w:rFonts w:ascii="Noyh Geometric Light" w:hAnsi="Noyh Geometric Light" w:cs="Swiss721BT-Light"/>
      <w:spacing w:val="-2"/>
    </w:rPr>
  </w:style>
  <w:style w:type="character" w:customStyle="1" w:styleId="A10">
    <w:name w:val="A10"/>
    <w:uiPriority w:val="99"/>
    <w:rsid w:val="00291E5E"/>
    <w:rPr>
      <w:rFonts w:ascii="Helvetica 55 Roman" w:hAnsi="Helvetica 55 Roman" w:cs="Helvetica 55 Roman"/>
      <w:sz w:val="18"/>
      <w:szCs w:val="18"/>
    </w:rPr>
  </w:style>
  <w:style w:type="paragraph" w:customStyle="1" w:styleId="Pa15">
    <w:name w:val="Pa15"/>
    <w:basedOn w:val="Default"/>
    <w:next w:val="Default"/>
    <w:uiPriority w:val="99"/>
    <w:rsid w:val="00291E5E"/>
    <w:pPr>
      <w:spacing w:line="181" w:lineRule="atLeast"/>
    </w:pPr>
    <w:rPr>
      <w:rFonts w:ascii="Noyh Geometric Light" w:hAnsi="Noyh Geometric Light" w:cs="Swiss721BT-Light"/>
      <w:spacing w:val="-2"/>
    </w:rPr>
  </w:style>
  <w:style w:type="paragraph" w:customStyle="1" w:styleId="Pa29">
    <w:name w:val="Pa29"/>
    <w:basedOn w:val="Default"/>
    <w:next w:val="Default"/>
    <w:uiPriority w:val="99"/>
    <w:rsid w:val="00291E5E"/>
    <w:pPr>
      <w:spacing w:line="181" w:lineRule="atLeast"/>
    </w:pPr>
    <w:rPr>
      <w:rFonts w:ascii="Noyh Geometric Regular" w:hAnsi="Noyh Geometric Regular" w:cs="Swiss721BT-Light"/>
      <w:spacing w:val="-2"/>
    </w:rPr>
  </w:style>
  <w:style w:type="paragraph" w:customStyle="1" w:styleId="Pa30">
    <w:name w:val="Pa30"/>
    <w:basedOn w:val="Default"/>
    <w:next w:val="Default"/>
    <w:uiPriority w:val="99"/>
    <w:rsid w:val="00291E5E"/>
    <w:pPr>
      <w:spacing w:line="181" w:lineRule="atLeast"/>
    </w:pPr>
    <w:rPr>
      <w:rFonts w:ascii="Noyh Geometric Regular" w:hAnsi="Noyh Geometric Regular" w:cs="Swiss721BT-Light"/>
      <w:spacing w:val="-2"/>
    </w:rPr>
  </w:style>
  <w:style w:type="paragraph" w:customStyle="1" w:styleId="Pa31">
    <w:name w:val="Pa31"/>
    <w:basedOn w:val="Default"/>
    <w:next w:val="Default"/>
    <w:uiPriority w:val="99"/>
    <w:rsid w:val="00291E5E"/>
    <w:pPr>
      <w:spacing w:line="181" w:lineRule="atLeast"/>
    </w:pPr>
    <w:rPr>
      <w:rFonts w:ascii="Noyh Geometric Regular" w:hAnsi="Noyh Geometric Regular" w:cs="Swiss721BT-Light"/>
      <w:spacing w:val="-2"/>
    </w:rPr>
  </w:style>
  <w:style w:type="paragraph" w:customStyle="1" w:styleId="Pa28">
    <w:name w:val="Pa28"/>
    <w:basedOn w:val="Default"/>
    <w:next w:val="Default"/>
    <w:uiPriority w:val="99"/>
    <w:rsid w:val="00291E5E"/>
    <w:pPr>
      <w:spacing w:line="181" w:lineRule="atLeast"/>
    </w:pPr>
    <w:rPr>
      <w:rFonts w:ascii="Noyh Geometric Regular" w:hAnsi="Noyh Geometric Regular" w:cs="Swiss721BT-Light"/>
      <w:spacing w:val="-2"/>
    </w:rPr>
  </w:style>
  <w:style w:type="paragraph" w:customStyle="1" w:styleId="Pa24">
    <w:name w:val="Pa24"/>
    <w:basedOn w:val="Default"/>
    <w:next w:val="Default"/>
    <w:uiPriority w:val="99"/>
    <w:rsid w:val="00291E5E"/>
    <w:pPr>
      <w:spacing w:line="181" w:lineRule="atLeast"/>
    </w:pPr>
    <w:rPr>
      <w:rFonts w:ascii="Noyh Geometric Light" w:hAnsi="Noyh Geometric Light" w:cstheme="minorBidi"/>
      <w:color w:val="auto"/>
    </w:rPr>
  </w:style>
  <w:style w:type="paragraph" w:customStyle="1" w:styleId="Pa16">
    <w:name w:val="Pa16"/>
    <w:basedOn w:val="Default"/>
    <w:next w:val="Default"/>
    <w:uiPriority w:val="99"/>
    <w:rsid w:val="00291E5E"/>
    <w:pPr>
      <w:spacing w:line="261" w:lineRule="atLeast"/>
    </w:pPr>
    <w:rPr>
      <w:rFonts w:ascii="Noyh Geometric Regular" w:hAnsi="Noyh Geometric Regular" w:cstheme="minorBidi"/>
      <w:color w:val="auto"/>
    </w:rPr>
  </w:style>
  <w:style w:type="paragraph" w:customStyle="1" w:styleId="App41">
    <w:name w:val="App4_1"/>
    <w:basedOn w:val="ListParagraph"/>
    <w:qFormat/>
    <w:rsid w:val="00EB5AF9"/>
    <w:pPr>
      <w:numPr>
        <w:numId w:val="17"/>
      </w:numPr>
      <w:ind w:left="709" w:hanging="709"/>
    </w:pPr>
    <w:rPr>
      <w:b/>
      <w:bCs/>
    </w:rPr>
  </w:style>
  <w:style w:type="paragraph" w:customStyle="1" w:styleId="App42">
    <w:name w:val="App4_2"/>
    <w:basedOn w:val="Normal"/>
    <w:qFormat/>
    <w:rsid w:val="00136922"/>
    <w:pPr>
      <w:ind w:left="1418" w:hanging="698"/>
    </w:pPr>
  </w:style>
  <w:style w:type="paragraph" w:customStyle="1" w:styleId="App43">
    <w:name w:val="App4_3"/>
    <w:basedOn w:val="ListParagraph"/>
    <w:qFormat/>
    <w:rsid w:val="00136922"/>
    <w:pPr>
      <w:numPr>
        <w:numId w:val="18"/>
      </w:numPr>
    </w:pPr>
  </w:style>
  <w:style w:type="paragraph" w:customStyle="1" w:styleId="SinglePara">
    <w:name w:val="Single Para"/>
    <w:basedOn w:val="Normal"/>
    <w:rsid w:val="008F65C6"/>
    <w:pPr>
      <w:spacing w:before="0" w:after="0"/>
    </w:pPr>
    <w:rPr>
      <w:rFonts w:ascii="Calibri" w:eastAsia="Times New Roman" w:hAnsi="Calibri"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reativecommons.org/licenses/by/3.0/au/deed.en" TargetMode="External"/><Relationship Id="rId18" Type="http://schemas.openxmlformats.org/officeDocument/2006/relationships/footer" Target="footer4.xml"/><Relationship Id="rId26" Type="http://schemas.openxmlformats.org/officeDocument/2006/relationships/hyperlink" Target="http://www.ombudsman.gov.au"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hyperlink" Target="mailto:info@sct.gov.au"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4.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legalcode" TargetMode="External"/><Relationship Id="rId24" Type="http://schemas.openxmlformats.org/officeDocument/2006/relationships/hyperlink" Target="file:///\\romulus\csg_h$\MCD\Publishing\Graphic%20Design%20Services%20Team\Projects\2021\Superannuation%20Complaints%20Tribunal%20Annual%20Report\www.sct.gov.au" TargetMode="External"/><Relationship Id="rId5" Type="http://schemas.openxmlformats.org/officeDocument/2006/relationships/webSettings" Target="webSettings.xml"/><Relationship Id="rId15" Type="http://schemas.openxmlformats.org/officeDocument/2006/relationships/hyperlink" Target="mailto:media@treasury.gov.au" TargetMode="External"/><Relationship Id="rId23" Type="http://schemas.openxmlformats.org/officeDocument/2006/relationships/hyperlink" Target="mailto:FOIrequest@asic.gov.au" TargetMode="External"/><Relationship Id="rId28" Type="http://schemas.openxmlformats.org/officeDocument/2006/relationships/footer" Target="footer6.xml"/><Relationship Id="rId10" Type="http://schemas.openxmlformats.org/officeDocument/2006/relationships/hyperlink" Target="http://creativecommons.org/licenses/by/3.0/au/deed.en"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pmc.gov.au/government/commonwealthcoatarms" TargetMode="External"/><Relationship Id="rId22" Type="http://schemas.openxmlformats.org/officeDocument/2006/relationships/image" Target="media/image6.jpeg"/><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A410-CE1B-4DE0-B12A-9B0E9C6B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11498</Words>
  <Characters>65539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2021-10-12T06:00:00Z</dcterms:created>
  <dcterms:modified xsi:type="dcterms:W3CDTF">2021-10-12T06:00:00Z</dcterms:modified>
</cp:coreProperties>
</file>