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5707" w14:textId="77777777" w:rsidR="004D2B37" w:rsidRPr="00691F33" w:rsidRDefault="004D2B37" w:rsidP="00355775">
      <w:pPr>
        <w:spacing w:before="840" w:after="2400"/>
        <w:ind w:left="227"/>
        <w:rPr>
          <w:rFonts w:ascii="Arial" w:hAnsi="Arial" w:cs="Arial"/>
        </w:rPr>
      </w:pPr>
      <w:bookmarkStart w:id="0" w:name="_GoBack"/>
      <w:bookmarkEnd w:id="0"/>
      <w:r w:rsidRPr="00F538E9">
        <w:rPr>
          <w:noProof/>
        </w:rPr>
        <w:drawing>
          <wp:inline distT="0" distB="0" distL="0" distR="0" wp14:anchorId="230F4380" wp14:editId="1B9D5633">
            <wp:extent cx="3543749" cy="756000"/>
            <wp:effectExtent l="0" t="0" r="0" b="0"/>
            <wp:docPr id="3"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43749" cy="756000"/>
                    </a:xfrm>
                    <a:prstGeom prst="rect">
                      <a:avLst/>
                    </a:prstGeom>
                    <a:noFill/>
                    <a:ln>
                      <a:noFill/>
                    </a:ln>
                  </pic:spPr>
                </pic:pic>
              </a:graphicData>
            </a:graphic>
          </wp:inline>
        </w:drawing>
      </w:r>
    </w:p>
    <w:p w14:paraId="3AE4A815" w14:textId="2B600638" w:rsidR="004D2B37" w:rsidRDefault="00ED1AE2" w:rsidP="00C753BA">
      <w:pPr>
        <w:pStyle w:val="DescriptorCP"/>
        <w:spacing w:before="0"/>
      </w:pPr>
      <w:r>
        <w:t>List of proposals and questions</w:t>
      </w:r>
      <w:r>
        <w:t xml:space="preserve"> </w:t>
      </w:r>
      <w:r w:rsidR="005A5F41">
        <w:fldChar w:fldCharType="begin"/>
      </w:r>
      <w:r w:rsidR="005A5F41">
        <w:instrText xml:space="preserve"> DOCPROPERTY  "Document type"  \* MERGEFORMAT </w:instrText>
      </w:r>
      <w:r w:rsidR="005A5F41">
        <w:fldChar w:fldCharType="separate"/>
      </w:r>
      <w:r w:rsidR="00057B8E">
        <w:t>CONSULTATION PAPER</w:t>
      </w:r>
      <w:r w:rsidR="005A5F41">
        <w:fldChar w:fldCharType="end"/>
      </w:r>
      <w:r w:rsidR="004D2B37">
        <w:t xml:space="preserve"> </w:t>
      </w:r>
      <w:r w:rsidR="005A5F41">
        <w:fldChar w:fldCharType="begin"/>
      </w:r>
      <w:r w:rsidR="005A5F41">
        <w:instrText xml:space="preserve"> DOCPROPERTY  "Document num"  \* MERGEFORMAT </w:instrText>
      </w:r>
      <w:r w:rsidR="005A5F41">
        <w:fldChar w:fldCharType="separate"/>
      </w:r>
      <w:r w:rsidR="00057B8E" w:rsidRPr="00057B8E">
        <w:t>334</w:t>
      </w:r>
      <w:r w:rsidR="005A5F41">
        <w:fldChar w:fldCharType="end"/>
      </w:r>
    </w:p>
    <w:p w14:paraId="71110B83" w14:textId="67ACA181" w:rsidR="004D2B37" w:rsidRDefault="004D2B37">
      <w:pPr>
        <w:ind w:left="2268"/>
        <w:rPr>
          <w:rFonts w:ascii="Arial" w:hAnsi="Arial" w:cs="Arial"/>
          <w:b/>
          <w:sz w:val="48"/>
          <w:szCs w:val="48"/>
        </w:rPr>
      </w:pPr>
      <w:r>
        <w:fldChar w:fldCharType="begin"/>
      </w:r>
      <w:r>
        <w:instrText xml:space="preserve"> </w:instrText>
      </w:r>
      <w:r w:rsidRPr="00396FD5">
        <w:rPr>
          <w:rFonts w:ascii="Arial" w:hAnsi="Arial"/>
          <w:b/>
          <w:sz w:val="48"/>
        </w:rPr>
        <w:instrText>D</w:instrText>
      </w:r>
      <w:r>
        <w:instrText xml:space="preserve">OCPROPERTY  "Document title"  \* charformat </w:instrText>
      </w:r>
      <w:r>
        <w:fldChar w:fldCharType="separate"/>
      </w:r>
      <w:r w:rsidR="00057B8E">
        <w:rPr>
          <w:rFonts w:ascii="Arial" w:hAnsi="Arial"/>
          <w:b/>
          <w:sz w:val="48"/>
        </w:rPr>
        <w:t>Proposed changes to simplify the ASIC Derivative Transaction Rules (Reporting): First consultation</w:t>
      </w:r>
      <w:r>
        <w:fldChar w:fldCharType="end"/>
      </w:r>
    </w:p>
    <w:p w14:paraId="35F39148" w14:textId="14A31DB9" w:rsidR="004D2B37" w:rsidRDefault="004D2B37" w:rsidP="00355775">
      <w:pPr>
        <w:pStyle w:val="Bodytextplain"/>
        <w:spacing w:before="720"/>
        <w:rPr>
          <w:rFonts w:ascii="Arial" w:hAnsi="Arial" w:cs="Arial"/>
        </w:rPr>
      </w:pPr>
      <w:r>
        <w:rPr>
          <w:rFonts w:ascii="Arial" w:hAnsi="Arial" w:cs="Arial"/>
        </w:rPr>
        <w:fldChar w:fldCharType="begin"/>
      </w:r>
      <w:r>
        <w:rPr>
          <w:rFonts w:ascii="Arial" w:hAnsi="Arial" w:cs="Arial"/>
        </w:rPr>
        <w:instrText xml:space="preserve"> DOCPROPERTY  "Issue date"  \* MERGEFORMAT </w:instrText>
      </w:r>
      <w:r>
        <w:rPr>
          <w:rFonts w:ascii="Arial" w:hAnsi="Arial" w:cs="Arial"/>
        </w:rPr>
        <w:fldChar w:fldCharType="separate"/>
      </w:r>
      <w:r w:rsidR="00057B8E">
        <w:rPr>
          <w:rFonts w:ascii="Arial" w:hAnsi="Arial" w:cs="Arial"/>
        </w:rPr>
        <w:t>November 2020</w:t>
      </w:r>
      <w:r>
        <w:rPr>
          <w:rFonts w:ascii="Arial" w:hAnsi="Arial" w:cs="Arial"/>
        </w:rPr>
        <w:fldChar w:fldCharType="end"/>
      </w:r>
    </w:p>
    <w:p w14:paraId="50B80558" w14:textId="3EB1D138" w:rsidR="005A5F41" w:rsidRDefault="005A5F41">
      <w:pPr>
        <w:spacing w:after="0"/>
        <w:rPr>
          <w:rFonts w:ascii="Arial" w:hAnsi="Arial" w:cs="Arial"/>
          <w:szCs w:val="22"/>
        </w:rPr>
      </w:pPr>
      <w:r>
        <w:rPr>
          <w:rFonts w:ascii="Arial" w:hAnsi="Arial" w:cs="Arial"/>
        </w:rPr>
        <w:br w:type="page"/>
      </w:r>
    </w:p>
    <w:p w14:paraId="286A8ECC" w14:textId="77777777" w:rsidR="00F96B9E" w:rsidRDefault="00F96B9E" w:rsidP="00AD06A2">
      <w:pPr>
        <w:pStyle w:val="Heading1nonumber"/>
      </w:pPr>
      <w:bookmarkStart w:id="1" w:name="_Toc57146522"/>
      <w:r>
        <w:lastRenderedPageBreak/>
        <w:t>List of proposals and questions</w:t>
      </w:r>
      <w:bookmarkEnd w:id="1"/>
      <w:r>
        <w:t xml:space="preserve"> </w:t>
      </w: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4536"/>
        <w:gridCol w:w="4536"/>
      </w:tblGrid>
      <w:tr w:rsidR="00F96B9E" w14:paraId="20AA130F" w14:textId="77777777" w:rsidTr="00314C7E">
        <w:trPr>
          <w:cantSplit/>
          <w:tblHeader/>
        </w:trPr>
        <w:tc>
          <w:tcPr>
            <w:tcW w:w="4536" w:type="dxa"/>
            <w:shd w:val="clear" w:color="auto" w:fill="C2E3FA"/>
          </w:tcPr>
          <w:p w14:paraId="1AF4DEBC" w14:textId="77777777" w:rsidR="00F96B9E" w:rsidRDefault="00F96B9E">
            <w:pPr>
              <w:pStyle w:val="tablehead"/>
            </w:pPr>
            <w:r>
              <w:t>Proposal</w:t>
            </w:r>
          </w:p>
        </w:tc>
        <w:tc>
          <w:tcPr>
            <w:tcW w:w="4536" w:type="dxa"/>
            <w:shd w:val="clear" w:color="auto" w:fill="C2E3FA"/>
          </w:tcPr>
          <w:p w14:paraId="3F1195BC" w14:textId="77777777" w:rsidR="00F96B9E" w:rsidRDefault="00F96B9E">
            <w:pPr>
              <w:pStyle w:val="tablehead"/>
            </w:pPr>
            <w:r>
              <w:t>Your feedback</w:t>
            </w:r>
          </w:p>
        </w:tc>
      </w:tr>
      <w:tr w:rsidR="00F96B9E" w14:paraId="415BD97B" w14:textId="77777777" w:rsidTr="00314C7E">
        <w:trPr>
          <w:cantSplit/>
        </w:trPr>
        <w:tc>
          <w:tcPr>
            <w:tcW w:w="4536" w:type="dxa"/>
            <w:shd w:val="clear" w:color="auto" w:fill="auto"/>
          </w:tcPr>
          <w:p w14:paraId="5A0860F1" w14:textId="445E5B26" w:rsidR="00F96B9E" w:rsidRDefault="00F96B9E" w:rsidP="00F96B9E">
            <w:pPr>
              <w:pStyle w:val="tblProposaltext"/>
            </w:pPr>
            <w:r>
              <w:t>C1</w:t>
            </w:r>
            <w:r>
              <w:tab/>
              <w:t xml:space="preserve">We propose to set out the UTI structure and format in a technical specification and the text of UTI rules for transaction events in the ASIC Rules. </w:t>
            </w:r>
          </w:p>
        </w:tc>
        <w:tc>
          <w:tcPr>
            <w:tcW w:w="4536" w:type="dxa"/>
            <w:shd w:val="clear" w:color="auto" w:fill="auto"/>
          </w:tcPr>
          <w:p w14:paraId="7D9A638B" w14:textId="77777777" w:rsidR="00F96B9E" w:rsidRDefault="00F96B9E" w:rsidP="00F96B9E">
            <w:pPr>
              <w:pStyle w:val="tblFeedbackquestion"/>
            </w:pPr>
            <w:r>
              <w:t>C1Q1</w:t>
            </w:r>
            <w:r>
              <w:tab/>
              <w:t>Do you agree with this proposal? In your response, please give detailed reasons for your answer.</w:t>
            </w:r>
          </w:p>
          <w:p w14:paraId="0E7BE062" w14:textId="31C226B9" w:rsidR="00F96B9E" w:rsidRDefault="00F96B9E" w:rsidP="00F96B9E">
            <w:pPr>
              <w:pStyle w:val="tblFeedbackquestion"/>
            </w:pPr>
            <w:r>
              <w:t>C1Q2</w:t>
            </w:r>
            <w:r>
              <w:tab/>
              <w:t xml:space="preserve">Do you consider that the UTI Guidance concerning the impact of the transaction events on the UTI is sufficiently clear or are there uncertainties that we should take into account when drafting the text for the ASIC Rules? In your response, please give detailed reasons for your answer. </w:t>
            </w:r>
          </w:p>
        </w:tc>
      </w:tr>
      <w:tr w:rsidR="00F96B9E" w14:paraId="6FD292B3" w14:textId="77777777" w:rsidTr="00314C7E">
        <w:trPr>
          <w:cantSplit/>
        </w:trPr>
        <w:tc>
          <w:tcPr>
            <w:tcW w:w="4536" w:type="dxa"/>
            <w:shd w:val="clear" w:color="auto" w:fill="auto"/>
          </w:tcPr>
          <w:p w14:paraId="66BF1561" w14:textId="00C0D273" w:rsidR="00F96B9E" w:rsidRDefault="00F96B9E" w:rsidP="00F96B9E">
            <w:pPr>
              <w:pStyle w:val="tblProposaltext"/>
            </w:pPr>
            <w:r>
              <w:t>C2</w:t>
            </w:r>
            <w:r>
              <w:tab/>
              <w:t xml:space="preserve">We propose to implement UTI Guidance step 1 (CCP), UTI Guidance step 2 (clearing member) and UTI Guidance step 3 (trading platform) as steps 1, 2 and 3 respectively in the ASIC Rules for UTI generation and reporting. </w:t>
            </w:r>
          </w:p>
        </w:tc>
        <w:tc>
          <w:tcPr>
            <w:tcW w:w="4536" w:type="dxa"/>
            <w:shd w:val="clear" w:color="auto" w:fill="auto"/>
          </w:tcPr>
          <w:p w14:paraId="1FD88E6D" w14:textId="77777777" w:rsidR="00F96B9E" w:rsidRDefault="00F96B9E" w:rsidP="00F96B9E">
            <w:pPr>
              <w:pStyle w:val="tblFeedbackquestion"/>
            </w:pPr>
            <w:r>
              <w:t>C2Q1</w:t>
            </w:r>
            <w:r>
              <w:tab/>
              <w:t>Do you agree with this proposal? In your response, please give detailed reasons for your answer.</w:t>
            </w:r>
          </w:p>
          <w:p w14:paraId="22FA9EFD" w14:textId="77777777" w:rsidR="00F96B9E" w:rsidRDefault="00F96B9E" w:rsidP="00F96B9E">
            <w:pPr>
              <w:pStyle w:val="tblFeedbackquestion"/>
            </w:pPr>
            <w:r>
              <w:t>C2Q2</w:t>
            </w:r>
            <w:r>
              <w:tab/>
              <w:t>Do you consider that, in addition to uncertainties about the globally common recognition, for UTI rules’ purposes, of CCPs, clearing members and trading platforms and the manner and timing of implementing UTI generation obligations, there are other uncertainties or implementation risks in relation to implementing these steps 1, 2 and 3 as UTI rules within the ASIC Rules? In your response, please give detailed reasons for your answer.</w:t>
            </w:r>
          </w:p>
          <w:p w14:paraId="4BA40EA4" w14:textId="5E4DF81C" w:rsidR="00F96B9E" w:rsidRDefault="00F96B9E" w:rsidP="00F96B9E">
            <w:pPr>
              <w:pStyle w:val="tblFeedbackquestion"/>
            </w:pPr>
            <w:r>
              <w:t>C2Q3</w:t>
            </w:r>
            <w:r>
              <w:tab/>
              <w:t xml:space="preserve">Do you consider that, in addition to considering temporary exemptions for jurisdictional implementation timing differences, there are other steps that ASIC could take or other provisions or exemptions that ASIC could consider to resolve or minimise the uncertainties or implementation risks? In your response, please give detailed reasons for your answer. </w:t>
            </w:r>
          </w:p>
        </w:tc>
      </w:tr>
      <w:tr w:rsidR="00F96B9E" w14:paraId="39E75FB0" w14:textId="77777777" w:rsidTr="00314C7E">
        <w:trPr>
          <w:cantSplit/>
        </w:trPr>
        <w:tc>
          <w:tcPr>
            <w:tcW w:w="4536" w:type="dxa"/>
            <w:shd w:val="clear" w:color="auto" w:fill="auto"/>
          </w:tcPr>
          <w:p w14:paraId="09083C9B" w14:textId="2BF28F96" w:rsidR="00F96B9E" w:rsidRDefault="00F96B9E" w:rsidP="00F96B9E">
            <w:pPr>
              <w:pStyle w:val="tblProposaltext"/>
            </w:pPr>
            <w:r>
              <w:lastRenderedPageBreak/>
              <w:t>C3</w:t>
            </w:r>
            <w:r>
              <w:tab/>
              <w:t xml:space="preserve">In principle, we propose to implement the elements of Table 4 as the steps of UTI rules for single-jurisdictional transactions within the ASIC Rules. As these steps are intended to align with the EU rules, our proposal is subject to the final EU rules. </w:t>
            </w:r>
          </w:p>
        </w:tc>
        <w:tc>
          <w:tcPr>
            <w:tcW w:w="4536" w:type="dxa"/>
            <w:shd w:val="clear" w:color="auto" w:fill="auto"/>
          </w:tcPr>
          <w:p w14:paraId="4C24E797" w14:textId="77777777" w:rsidR="00F96B9E" w:rsidRDefault="00F96B9E" w:rsidP="00F96B9E">
            <w:pPr>
              <w:pStyle w:val="tblFeedbackquestion"/>
            </w:pPr>
            <w:r>
              <w:t>C3Q1</w:t>
            </w:r>
            <w:r>
              <w:tab/>
              <w:t>Do you agree with this proposal? In your response, please give detailed reasons for your answer.</w:t>
            </w:r>
          </w:p>
          <w:p w14:paraId="1BCDADC9" w14:textId="77777777" w:rsidR="00F96B9E" w:rsidRDefault="00F96B9E" w:rsidP="00F96B9E">
            <w:pPr>
              <w:pStyle w:val="tblFeedbackquestion"/>
            </w:pPr>
            <w:r>
              <w:t>C3Q2</w:t>
            </w:r>
            <w:r>
              <w:tab/>
              <w:t>Do you consider that either option 1 or option 2 or both should not be adopted in the ASIC Rules? In your response please give detailed reasons for your answer.</w:t>
            </w:r>
          </w:p>
          <w:p w14:paraId="57410B72" w14:textId="77777777" w:rsidR="00F96B9E" w:rsidRDefault="00F96B9E" w:rsidP="00F96B9E">
            <w:pPr>
              <w:pStyle w:val="tblFeedbackquestion"/>
            </w:pPr>
            <w:r>
              <w:t>C3Q3</w:t>
            </w:r>
            <w:r>
              <w:tab/>
              <w:t>Noting that the proposal would not include the step of a UTI generator determination by agreement between the counterparties under option 2, do you consider that this form of UTI generator determination should be a step in the UTI rules within the ASIC Rules? In your response please give detailed reasons for your answer.</w:t>
            </w:r>
          </w:p>
          <w:p w14:paraId="23BD987C" w14:textId="77777777" w:rsidR="00F96B9E" w:rsidRDefault="00F96B9E" w:rsidP="00F96B9E">
            <w:pPr>
              <w:pStyle w:val="tblFeedbackquestion"/>
            </w:pPr>
            <w:r>
              <w:t>C3Q4</w:t>
            </w:r>
            <w:r>
              <w:tab/>
              <w:t>Noting that the proposal focuses on aligning with the final EU rules, do you consider there are other specific jurisdictions where aligning with UTI rules should be of greater focus? In your response please give detailed reasons for your answer.</w:t>
            </w:r>
          </w:p>
          <w:p w14:paraId="736CAC2F" w14:textId="77777777" w:rsidR="00F96B9E" w:rsidRDefault="00F96B9E" w:rsidP="00F96B9E">
            <w:pPr>
              <w:pStyle w:val="tblFeedbackquestion"/>
            </w:pPr>
            <w:r>
              <w:t>C3Q5</w:t>
            </w:r>
            <w:r>
              <w:tab/>
              <w:t>Do you consider there are combinations of types of counterparties to a single-jurisdictional transaction where the UTI generator may not be determinable or would determine the UTI generator as a type of counterparty that is not your preferred UTI generator outcome? In your response please give detailed reasons for your answer.</w:t>
            </w:r>
          </w:p>
          <w:p w14:paraId="1C09AABA" w14:textId="146D0D2B" w:rsidR="00F96B9E" w:rsidRDefault="00F96B9E" w:rsidP="00F96B9E">
            <w:pPr>
              <w:pStyle w:val="tblFeedbackquestion"/>
            </w:pPr>
            <w:r>
              <w:t>C3Q6</w:t>
            </w:r>
            <w:r>
              <w:tab/>
              <w:t xml:space="preserve">Do you have any other comments about the proposal? </w:t>
            </w:r>
          </w:p>
        </w:tc>
      </w:tr>
      <w:tr w:rsidR="00F96B9E" w14:paraId="46D198D4" w14:textId="77777777" w:rsidTr="00314C7E">
        <w:trPr>
          <w:cantSplit/>
        </w:trPr>
        <w:tc>
          <w:tcPr>
            <w:tcW w:w="4536" w:type="dxa"/>
            <w:shd w:val="clear" w:color="auto" w:fill="auto"/>
          </w:tcPr>
          <w:p w14:paraId="221CA2CF" w14:textId="01FC960E" w:rsidR="00F96B9E" w:rsidRDefault="00F96B9E" w:rsidP="00F96B9E">
            <w:pPr>
              <w:pStyle w:val="tblProposaltext"/>
            </w:pPr>
            <w:r>
              <w:lastRenderedPageBreak/>
              <w:t>C4</w:t>
            </w:r>
            <w:r>
              <w:tab/>
              <w:t xml:space="preserve">We are not making a formal proposal in relation to a UTI cross-jurisdictional test at this time but we seek your feedback as set out below. </w:t>
            </w:r>
          </w:p>
        </w:tc>
        <w:tc>
          <w:tcPr>
            <w:tcW w:w="4536" w:type="dxa"/>
            <w:shd w:val="clear" w:color="auto" w:fill="auto"/>
          </w:tcPr>
          <w:p w14:paraId="5CF76351" w14:textId="77777777" w:rsidR="00F96B9E" w:rsidRDefault="00F96B9E" w:rsidP="00F96B9E">
            <w:pPr>
              <w:pStyle w:val="tblFeedbackquestion"/>
            </w:pPr>
            <w:r>
              <w:t>C4Q1</w:t>
            </w:r>
            <w:r>
              <w:tab/>
              <w:t>Do you consider that the approach outlined in paragraphs 103–107 would assist in clarifying the determination of a UTI generator? In your response, please give detailed reasons for your answer.</w:t>
            </w:r>
          </w:p>
          <w:p w14:paraId="279C8B6C" w14:textId="77777777" w:rsidR="00F96B9E" w:rsidRDefault="00F96B9E" w:rsidP="00F96B9E">
            <w:pPr>
              <w:pStyle w:val="tblFeedbackquestion"/>
            </w:pPr>
            <w:r>
              <w:t>C4Q2</w:t>
            </w:r>
            <w:r>
              <w:tab/>
              <w:t>Do you consider that the capacity in which a counterparty is acting should include any status information that would overarchingly impact on a UTI generator determination? In your response, please give detailed reasons for your answer.</w:t>
            </w:r>
          </w:p>
          <w:p w14:paraId="20BFE906" w14:textId="77777777" w:rsidR="00F96B9E" w:rsidRDefault="00F96B9E" w:rsidP="00F96B9E">
            <w:pPr>
              <w:pStyle w:val="tblFeedbackquestion"/>
            </w:pPr>
            <w:r>
              <w:t>C4Q3</w:t>
            </w:r>
            <w:r>
              <w:tab/>
              <w:t>Do you consider there are significant impediments for you in obtaining such capacity information from your counterparties or conveying such capacity information to them? In your response, please give detailed reasons for your answer.</w:t>
            </w:r>
          </w:p>
          <w:p w14:paraId="1B0DDCF1" w14:textId="77777777" w:rsidR="00F96B9E" w:rsidRDefault="00F96B9E" w:rsidP="00F96B9E">
            <w:pPr>
              <w:pStyle w:val="tblFeedbackquestion"/>
            </w:pPr>
            <w:r>
              <w:t>C4Q4</w:t>
            </w:r>
            <w:r>
              <w:tab/>
              <w:t>Do you consider there are particular transaction circumstances (such as counterparty domicile/branch location/status combinations) where the approach outlined in paragraphs 103–107 would not assist in clarifying how to determine a UTI generator? In your response, please give detailed reasons for your answer.</w:t>
            </w:r>
          </w:p>
          <w:p w14:paraId="3F9EB6A4" w14:textId="39116F38" w:rsidR="00F96B9E" w:rsidRDefault="00F96B9E" w:rsidP="00F96B9E">
            <w:pPr>
              <w:pStyle w:val="tblFeedbackquestion"/>
            </w:pPr>
            <w:r>
              <w:t>C4Q5</w:t>
            </w:r>
            <w:r>
              <w:tab/>
              <w:t xml:space="preserve">Do you have any other comments about the approach outlined in paragraphs 103–107? </w:t>
            </w:r>
          </w:p>
        </w:tc>
      </w:tr>
      <w:tr w:rsidR="00F96B9E" w14:paraId="41D0B91E" w14:textId="77777777" w:rsidTr="00314C7E">
        <w:trPr>
          <w:cantSplit/>
        </w:trPr>
        <w:tc>
          <w:tcPr>
            <w:tcW w:w="4536" w:type="dxa"/>
            <w:shd w:val="clear" w:color="auto" w:fill="auto"/>
          </w:tcPr>
          <w:p w14:paraId="331B769B" w14:textId="5E1FF1F5" w:rsidR="00F96B9E" w:rsidRDefault="00F96B9E" w:rsidP="00F96B9E">
            <w:pPr>
              <w:pStyle w:val="tblProposaltext"/>
            </w:pPr>
            <w:r>
              <w:t>C5</w:t>
            </w:r>
            <w:r>
              <w:tab/>
              <w:t xml:space="preserve">We are not making a formal proposal in relation to a method for determining the jurisdiction with the sooner deadline for reporting at this time but we seek your feedback as set out below. </w:t>
            </w:r>
          </w:p>
        </w:tc>
        <w:tc>
          <w:tcPr>
            <w:tcW w:w="4536" w:type="dxa"/>
            <w:shd w:val="clear" w:color="auto" w:fill="auto"/>
          </w:tcPr>
          <w:p w14:paraId="2461D3D7" w14:textId="77777777" w:rsidR="00F96B9E" w:rsidRDefault="00F96B9E" w:rsidP="00F96B9E">
            <w:pPr>
              <w:pStyle w:val="tblFeedbackquestion"/>
            </w:pPr>
            <w:r>
              <w:t>C5Q1</w:t>
            </w:r>
            <w:r>
              <w:tab/>
              <w:t>Do you consider there is uncertainty in how the UTI Guidance’s ‘sooner deadline for reporting’ test is interpreted? In your response, please give detailed reasons for your answer.</w:t>
            </w:r>
          </w:p>
          <w:p w14:paraId="5D05E320" w14:textId="77777777" w:rsidR="00F96B9E" w:rsidRDefault="00F96B9E" w:rsidP="00F96B9E">
            <w:pPr>
              <w:pStyle w:val="tblFeedbackquestion"/>
            </w:pPr>
            <w:r>
              <w:t>C5Q2</w:t>
            </w:r>
            <w:r>
              <w:tab/>
              <w:t>Do you consider we have correctly identified the possible interpretations? In your response, please give detailed reasons for your answer.</w:t>
            </w:r>
          </w:p>
          <w:p w14:paraId="50E23461" w14:textId="77777777" w:rsidR="00F96B9E" w:rsidRDefault="00F96B9E" w:rsidP="00F96B9E">
            <w:pPr>
              <w:pStyle w:val="tblFeedbackquestion"/>
            </w:pPr>
            <w:r>
              <w:t>C5Q3</w:t>
            </w:r>
            <w:r>
              <w:tab/>
              <w:t>Do you have a preferred single interpretation? In your response, please give detailed reasons for your answer.</w:t>
            </w:r>
          </w:p>
          <w:p w14:paraId="3FA1EB68" w14:textId="19368255" w:rsidR="00F96B9E" w:rsidRDefault="00F96B9E" w:rsidP="00F96B9E">
            <w:pPr>
              <w:pStyle w:val="tblFeedbackquestion"/>
            </w:pPr>
            <w:r>
              <w:t>C5Q4</w:t>
            </w:r>
            <w:r>
              <w:tab/>
              <w:t xml:space="preserve">Do you have any other comments about this issue? </w:t>
            </w:r>
          </w:p>
        </w:tc>
      </w:tr>
      <w:tr w:rsidR="00F96B9E" w14:paraId="286AEB8E" w14:textId="77777777" w:rsidTr="00314C7E">
        <w:trPr>
          <w:cantSplit/>
        </w:trPr>
        <w:tc>
          <w:tcPr>
            <w:tcW w:w="4536" w:type="dxa"/>
            <w:shd w:val="clear" w:color="auto" w:fill="auto"/>
          </w:tcPr>
          <w:p w14:paraId="5B79A451" w14:textId="31BFD337" w:rsidR="00F96B9E" w:rsidRDefault="00F96B9E" w:rsidP="00F96B9E">
            <w:pPr>
              <w:pStyle w:val="tblProposaltext"/>
            </w:pPr>
            <w:r>
              <w:lastRenderedPageBreak/>
              <w:t>C6</w:t>
            </w:r>
            <w:r>
              <w:tab/>
              <w:t xml:space="preserve">In principle, we propose that the UTI generator rules for a cross-jurisdictional transaction are the same rules as for a single-jurisdictional transaction. </w:t>
            </w:r>
          </w:p>
        </w:tc>
        <w:tc>
          <w:tcPr>
            <w:tcW w:w="4536" w:type="dxa"/>
            <w:shd w:val="clear" w:color="auto" w:fill="auto"/>
          </w:tcPr>
          <w:p w14:paraId="1B6962AC" w14:textId="77777777" w:rsidR="00F96B9E" w:rsidRDefault="00F96B9E" w:rsidP="00F96B9E">
            <w:pPr>
              <w:pStyle w:val="tblFeedbackquestion"/>
            </w:pPr>
            <w:r>
              <w:t>C6Q1</w:t>
            </w:r>
            <w:r>
              <w:tab/>
              <w:t>Do you agree with this proposal? In your response, please give detailed reasons for your answer.</w:t>
            </w:r>
          </w:p>
          <w:p w14:paraId="6102E291" w14:textId="77777777" w:rsidR="00F96B9E" w:rsidRDefault="00F96B9E" w:rsidP="00F96B9E">
            <w:pPr>
              <w:pStyle w:val="tblFeedbackquestion"/>
            </w:pPr>
            <w:r>
              <w:t>C6Q2</w:t>
            </w:r>
            <w:r>
              <w:tab/>
              <w:t>Do you agree that the above rules will provide the same UTI generator outcome in a transaction between an Australian entity and an EU financial counterparty, whether under the ASIC Rules or the ESMA proposals for EU rules? In your response, please give detailed reasons for your answer.</w:t>
            </w:r>
          </w:p>
          <w:p w14:paraId="7776CB20" w14:textId="77777777" w:rsidR="00F96B9E" w:rsidRDefault="00F96B9E" w:rsidP="00F96B9E">
            <w:pPr>
              <w:pStyle w:val="tblFeedbackquestion"/>
            </w:pPr>
            <w:r>
              <w:t>C6Q3</w:t>
            </w:r>
            <w:r>
              <w:tab/>
              <w:t>Do you agree that there can be the outcome (described in paragraph 134) that an EU non-financial counterparty is the UTI generator in a transaction with an Australian reporting entity but not in a transaction with an EU financial counterparty? In your response, please give detailed reasons for your answer.</w:t>
            </w:r>
          </w:p>
          <w:p w14:paraId="0996E335" w14:textId="77777777" w:rsidR="00F96B9E" w:rsidRDefault="00F96B9E" w:rsidP="00F96B9E">
            <w:pPr>
              <w:pStyle w:val="tblFeedbackquestion"/>
            </w:pPr>
            <w:r>
              <w:t>C6Q4</w:t>
            </w:r>
            <w:r>
              <w:tab/>
              <w:t>Do you consider there are other particular transaction circumstances (such as counterparty domicile/branch location/status/jurisdictional combinations) where there may be similar differences in a UTI generator outcome? In your response, please give detailed reasons for your answer.</w:t>
            </w:r>
          </w:p>
          <w:p w14:paraId="64A1A605" w14:textId="6110DD1C" w:rsidR="00F96B9E" w:rsidRDefault="00F96B9E" w:rsidP="00F96B9E">
            <w:pPr>
              <w:pStyle w:val="tblFeedbackquestion"/>
            </w:pPr>
            <w:r>
              <w:t>C6Q5</w:t>
            </w:r>
            <w:r>
              <w:tab/>
              <w:t xml:space="preserve">Do you have any other comments about the proposal? </w:t>
            </w:r>
          </w:p>
        </w:tc>
      </w:tr>
      <w:tr w:rsidR="00F96B9E" w14:paraId="1C9E20D8" w14:textId="77777777" w:rsidTr="00314C7E">
        <w:trPr>
          <w:cantSplit/>
        </w:trPr>
        <w:tc>
          <w:tcPr>
            <w:tcW w:w="4536" w:type="dxa"/>
            <w:shd w:val="clear" w:color="auto" w:fill="auto"/>
          </w:tcPr>
          <w:p w14:paraId="6135331B" w14:textId="26C4D02A" w:rsidR="00F96B9E" w:rsidRDefault="00F96B9E" w:rsidP="00F96B9E">
            <w:pPr>
              <w:pStyle w:val="tblProposaltext"/>
            </w:pPr>
            <w:r>
              <w:t>C7</w:t>
            </w:r>
            <w:r>
              <w:tab/>
              <w:t xml:space="preserve">We are not making a formal proposal for ‘special purpose’ rules as discussed at paragraphs 135–139 at this time but we seek your feedback as set out below. </w:t>
            </w:r>
          </w:p>
        </w:tc>
        <w:tc>
          <w:tcPr>
            <w:tcW w:w="4536" w:type="dxa"/>
            <w:shd w:val="clear" w:color="auto" w:fill="auto"/>
          </w:tcPr>
          <w:p w14:paraId="3FF8E441" w14:textId="77777777" w:rsidR="00F96B9E" w:rsidRDefault="00F96B9E" w:rsidP="00F96B9E">
            <w:pPr>
              <w:pStyle w:val="tblFeedbackquestion"/>
            </w:pPr>
            <w:r>
              <w:t>C7Q1</w:t>
            </w:r>
            <w:r>
              <w:tab/>
              <w:t>Do you consider there is merit in considering a ‘special purpose’ rule that would, in effect, deem the CFTC to be the sooner jurisdiction in all such cross-jurisdictional transactions? In your response, please give detailed reasons for your answer.</w:t>
            </w:r>
          </w:p>
          <w:p w14:paraId="3DE86072" w14:textId="77777777" w:rsidR="00F96B9E" w:rsidRDefault="00F96B9E" w:rsidP="00F96B9E">
            <w:pPr>
              <w:pStyle w:val="tblFeedbackquestion"/>
            </w:pPr>
            <w:r>
              <w:t>C7Q2</w:t>
            </w:r>
            <w:r>
              <w:tab/>
              <w:t>Do you consider there are particular transaction circumstances (such as counterparty domicile/branch location/status/jurisdictional combinations) where there may be unintended complexities or conflicts with other jurisdictions’ rules under this approach? In your response, please give detailed reasons for your answer.</w:t>
            </w:r>
          </w:p>
          <w:p w14:paraId="318A195D" w14:textId="77777777" w:rsidR="00F96B9E" w:rsidRDefault="00F96B9E" w:rsidP="00F96B9E">
            <w:pPr>
              <w:pStyle w:val="tblFeedbackquestion"/>
            </w:pPr>
            <w:r>
              <w:t>C7Q3</w:t>
            </w:r>
            <w:r>
              <w:tab/>
              <w:t>Do you consider there may be other cross-jurisdictional situations which may also merit a ‘special purpose’ UTI rule? In your response, please give detailed reasons for your answer.</w:t>
            </w:r>
          </w:p>
          <w:p w14:paraId="50F686CC" w14:textId="662BA61E" w:rsidR="00F96B9E" w:rsidRDefault="00F96B9E" w:rsidP="00F96B9E">
            <w:pPr>
              <w:pStyle w:val="tblFeedbackquestion"/>
            </w:pPr>
            <w:r>
              <w:t>C7Q4</w:t>
            </w:r>
            <w:r>
              <w:tab/>
              <w:t xml:space="preserve">Do you have any other comments about this issue? </w:t>
            </w:r>
          </w:p>
        </w:tc>
      </w:tr>
      <w:tr w:rsidR="00F96B9E" w14:paraId="1D1D4E3F" w14:textId="77777777" w:rsidTr="00314C7E">
        <w:trPr>
          <w:cantSplit/>
        </w:trPr>
        <w:tc>
          <w:tcPr>
            <w:tcW w:w="4536" w:type="dxa"/>
            <w:shd w:val="clear" w:color="auto" w:fill="auto"/>
          </w:tcPr>
          <w:p w14:paraId="3330E054" w14:textId="2A4D545F" w:rsidR="00F96B9E" w:rsidRDefault="00F96B9E" w:rsidP="00F96B9E">
            <w:pPr>
              <w:pStyle w:val="tblProposaltext"/>
            </w:pPr>
            <w:r>
              <w:lastRenderedPageBreak/>
              <w:t>C8</w:t>
            </w:r>
            <w:r>
              <w:tab/>
              <w:t xml:space="preserve">In principle, we propose to provide for an ultimate determinant as per the UTI Guidance. </w:t>
            </w:r>
          </w:p>
        </w:tc>
        <w:tc>
          <w:tcPr>
            <w:tcW w:w="4536" w:type="dxa"/>
            <w:shd w:val="clear" w:color="auto" w:fill="auto"/>
          </w:tcPr>
          <w:p w14:paraId="751AB84D" w14:textId="35A39DFF" w:rsidR="00F96B9E" w:rsidRDefault="00F96B9E" w:rsidP="00F96B9E">
            <w:pPr>
              <w:pStyle w:val="tblFeedbackquestion"/>
            </w:pPr>
            <w:r>
              <w:t>C8Q1</w:t>
            </w:r>
            <w:r>
              <w:tab/>
              <w:t xml:space="preserve">Do you agree with this proposal? In your response, please give detailed reasons for your answer. </w:t>
            </w:r>
          </w:p>
        </w:tc>
      </w:tr>
      <w:tr w:rsidR="00F96B9E" w14:paraId="18710608" w14:textId="77777777" w:rsidTr="00314C7E">
        <w:trPr>
          <w:cantSplit/>
        </w:trPr>
        <w:tc>
          <w:tcPr>
            <w:tcW w:w="4536" w:type="dxa"/>
            <w:shd w:val="clear" w:color="auto" w:fill="auto"/>
          </w:tcPr>
          <w:p w14:paraId="7AB70C93" w14:textId="6639ACF9" w:rsidR="00F96B9E" w:rsidRDefault="00F96B9E" w:rsidP="00F96B9E">
            <w:pPr>
              <w:pStyle w:val="tblProposaltext"/>
            </w:pPr>
            <w:r>
              <w:t>C9</w:t>
            </w:r>
            <w:r>
              <w:tab/>
              <w:t xml:space="preserve">We intend to propose that the ASIC Rules require that ASIC reporting entities, when acting as a UTI generator, generate a UTI and provide it to their counterparty with an obligation of timeliness. </w:t>
            </w:r>
          </w:p>
        </w:tc>
        <w:tc>
          <w:tcPr>
            <w:tcW w:w="4536" w:type="dxa"/>
            <w:shd w:val="clear" w:color="auto" w:fill="auto"/>
          </w:tcPr>
          <w:p w14:paraId="02B44887" w14:textId="77777777" w:rsidR="00F96B9E" w:rsidRDefault="00F96B9E" w:rsidP="00F96B9E">
            <w:pPr>
              <w:pStyle w:val="tblFeedbackquestion"/>
            </w:pPr>
            <w:r>
              <w:t>C9Q1</w:t>
            </w:r>
            <w:r>
              <w:tab/>
              <w:t>Do you agree with this proposal? In your response, please give detailed reasons for your answer.</w:t>
            </w:r>
          </w:p>
          <w:p w14:paraId="0570A188" w14:textId="77777777" w:rsidR="00F96B9E" w:rsidRDefault="00F96B9E" w:rsidP="00F96B9E">
            <w:pPr>
              <w:pStyle w:val="tblFeedbackquestion"/>
            </w:pPr>
            <w:r>
              <w:t>C9Q2</w:t>
            </w:r>
            <w:r>
              <w:tab/>
              <w:t>Do you consider that an obligation of timeliness should refer to a fixed deadline (e.g. T+1, 12:00 a.m. Sydney) or as an amount of time after transaction execution (e.g. 12 hours) or as another timeliness reference? In your response, please give detailed reasons for your answer.</w:t>
            </w:r>
          </w:p>
          <w:p w14:paraId="5B6A4F4C" w14:textId="2FDA9FCC" w:rsidR="00F96B9E" w:rsidRDefault="00F96B9E" w:rsidP="00F96B9E">
            <w:pPr>
              <w:pStyle w:val="tblFeedbackquestion"/>
            </w:pPr>
            <w:r>
              <w:t>C9Q3</w:t>
            </w:r>
            <w:r>
              <w:tab/>
              <w:t xml:space="preserve">Do you consider there should be different obligations of timeliness for single-jurisdictional transactions and cross-jurisdictional transactions? In your response, please give detailed reasons for your answer. </w:t>
            </w:r>
          </w:p>
        </w:tc>
      </w:tr>
      <w:tr w:rsidR="00F96B9E" w14:paraId="618D4EE9" w14:textId="77777777" w:rsidTr="00314C7E">
        <w:trPr>
          <w:cantSplit/>
        </w:trPr>
        <w:tc>
          <w:tcPr>
            <w:tcW w:w="4536" w:type="dxa"/>
            <w:shd w:val="clear" w:color="auto" w:fill="auto"/>
          </w:tcPr>
          <w:p w14:paraId="693969E7" w14:textId="785BED06" w:rsidR="00F96B9E" w:rsidRDefault="00F96B9E" w:rsidP="00F96B9E">
            <w:pPr>
              <w:pStyle w:val="tblProposaltext"/>
            </w:pPr>
            <w:r>
              <w:t>C10</w:t>
            </w:r>
            <w:r>
              <w:tab/>
              <w:t xml:space="preserve">We may propose in the second round of consultation that the ASIC Rules include requirements on reporting entities to report their own UTI when they do not receive the UTI from the other UTI generator and to re-report using that second UTI when it is received. </w:t>
            </w:r>
          </w:p>
        </w:tc>
        <w:tc>
          <w:tcPr>
            <w:tcW w:w="4536" w:type="dxa"/>
            <w:shd w:val="clear" w:color="auto" w:fill="auto"/>
          </w:tcPr>
          <w:p w14:paraId="2739808F" w14:textId="77777777" w:rsidR="00F96B9E" w:rsidRDefault="00F96B9E" w:rsidP="00F96B9E">
            <w:pPr>
              <w:pStyle w:val="tblFeedbackquestion"/>
            </w:pPr>
            <w:r>
              <w:t>C10Q1</w:t>
            </w:r>
            <w:r>
              <w:tab/>
              <w:t xml:space="preserve">Do you agree that we should propose such </w:t>
            </w:r>
            <w:proofErr w:type="gramStart"/>
            <w:r>
              <w:t>requirements?</w:t>
            </w:r>
            <w:proofErr w:type="gramEnd"/>
            <w:r>
              <w:t xml:space="preserve"> In your response, please give detailed reasons for your answer.</w:t>
            </w:r>
          </w:p>
          <w:p w14:paraId="5AA0B003" w14:textId="3A979DA2" w:rsidR="00F96B9E" w:rsidRDefault="00F96B9E" w:rsidP="00F96B9E">
            <w:pPr>
              <w:pStyle w:val="tblFeedbackquestion"/>
            </w:pPr>
            <w:r>
              <w:t>C10Q2</w:t>
            </w:r>
            <w:r>
              <w:tab/>
              <w:t xml:space="preserve">What are the kinds of requirements that you consider we should take into account when drafting such a proposal? In your response, please give detailed reasons for your answer. </w:t>
            </w:r>
          </w:p>
        </w:tc>
      </w:tr>
      <w:tr w:rsidR="00F96B9E" w14:paraId="4D6C53A7" w14:textId="77777777" w:rsidTr="00314C7E">
        <w:trPr>
          <w:cantSplit/>
        </w:trPr>
        <w:tc>
          <w:tcPr>
            <w:tcW w:w="4536" w:type="dxa"/>
            <w:shd w:val="clear" w:color="auto" w:fill="auto"/>
          </w:tcPr>
          <w:p w14:paraId="01CFA7E6" w14:textId="14DD3534" w:rsidR="00F96B9E" w:rsidRDefault="00F96B9E" w:rsidP="00F96B9E">
            <w:pPr>
              <w:pStyle w:val="tblProposaltext"/>
            </w:pPr>
            <w:r>
              <w:lastRenderedPageBreak/>
              <w:t>E1</w:t>
            </w:r>
            <w:r>
              <w:tab/>
              <w:t xml:space="preserve">We propose to include in the ASIC Rules the data elements related to dates and timestamps set out in Table 7. </w:t>
            </w:r>
          </w:p>
        </w:tc>
        <w:tc>
          <w:tcPr>
            <w:tcW w:w="4536" w:type="dxa"/>
            <w:shd w:val="clear" w:color="auto" w:fill="auto"/>
          </w:tcPr>
          <w:p w14:paraId="184DA0FF" w14:textId="77777777" w:rsidR="00F96B9E" w:rsidRDefault="00F96B9E" w:rsidP="00F96B9E">
            <w:pPr>
              <w:pStyle w:val="tblFeedbackquestion"/>
            </w:pPr>
            <w:r>
              <w:t>E1Q1</w:t>
            </w:r>
            <w:r>
              <w:tab/>
              <w:t>Do you agree with this proposal? In your response, please give detailed reasons for your answer.</w:t>
            </w:r>
          </w:p>
          <w:p w14:paraId="539A7B73" w14:textId="77777777" w:rsidR="00F96B9E" w:rsidRDefault="00F96B9E" w:rsidP="00F96B9E">
            <w:pPr>
              <w:pStyle w:val="tblFeedbackquestion"/>
            </w:pPr>
            <w:r>
              <w:t>E1Q2</w:t>
            </w:r>
            <w:r>
              <w:tab/>
              <w:t>In relation to ‘effective date’, do you consider that:</w:t>
            </w:r>
          </w:p>
          <w:p w14:paraId="651E127A" w14:textId="77777777" w:rsidR="00F96B9E" w:rsidRDefault="00F96B9E" w:rsidP="00F96B9E">
            <w:pPr>
              <w:pStyle w:val="tblFeedbacksubquestion"/>
            </w:pPr>
            <w:r>
              <w:t>(a)</w:t>
            </w:r>
            <w:r>
              <w:tab/>
              <w:t>there is a need to clarify the meaning of ‘effective date’;</w:t>
            </w:r>
          </w:p>
          <w:p w14:paraId="1F9B75C9" w14:textId="77777777" w:rsidR="00F96B9E" w:rsidRDefault="00F96B9E" w:rsidP="00F96B9E">
            <w:pPr>
              <w:pStyle w:val="tblFeedbacksubquestion"/>
            </w:pPr>
            <w:r>
              <w:t>(b)</w:t>
            </w:r>
            <w:r>
              <w:tab/>
              <w:t>there are particular types of transactions for which determining ‘effective date’ is problematic; or</w:t>
            </w:r>
          </w:p>
          <w:p w14:paraId="3929DFB4" w14:textId="77777777" w:rsidR="00F96B9E" w:rsidRDefault="00F96B9E" w:rsidP="00F96B9E">
            <w:pPr>
              <w:pStyle w:val="tblFeedbacksubquestion"/>
            </w:pPr>
            <w:r>
              <w:t>(c)</w:t>
            </w:r>
            <w:r>
              <w:tab/>
              <w:t>in the absence of a determinable ‘effective date’, ‘execution timestamp’ should be reported instead?</w:t>
            </w:r>
          </w:p>
          <w:p w14:paraId="0B7148FE" w14:textId="73507361" w:rsidR="00F96B9E" w:rsidRDefault="00F96B9E" w:rsidP="00F96B9E">
            <w:pPr>
              <w:pStyle w:val="tblFeedbackquestion"/>
            </w:pPr>
            <w:r>
              <w:tab/>
              <w:t>In your response, please give detailed reasons for your answer.</w:t>
            </w:r>
          </w:p>
          <w:p w14:paraId="5C696DA0" w14:textId="77777777" w:rsidR="00F96B9E" w:rsidRDefault="00F96B9E" w:rsidP="00F96B9E">
            <w:pPr>
              <w:pStyle w:val="tblFeedbackquestion"/>
            </w:pPr>
            <w:r>
              <w:t>E1Q3</w:t>
            </w:r>
            <w:r>
              <w:tab/>
              <w:t>Do you agree that ‘event timestamp’ should be a timestamp data element and not a date data element? In your response, please give detailed reasons for your answer.</w:t>
            </w:r>
          </w:p>
          <w:p w14:paraId="1668CC25" w14:textId="3068D1C4" w:rsidR="00F96B9E" w:rsidRDefault="00F96B9E" w:rsidP="00F96B9E">
            <w:pPr>
              <w:pStyle w:val="tblFeedbackquestion"/>
            </w:pPr>
            <w:r>
              <w:t>E1Q4</w:t>
            </w:r>
            <w:r>
              <w:tab/>
              <w:t xml:space="preserve">Do you consider that you will have particular interpretation or implementation issues with the data elements set out in Table 7? In your response, please give detailed reasons for your answer. </w:t>
            </w:r>
          </w:p>
        </w:tc>
      </w:tr>
      <w:tr w:rsidR="00F96B9E" w14:paraId="15A1F24D" w14:textId="77777777" w:rsidTr="00314C7E">
        <w:trPr>
          <w:cantSplit/>
        </w:trPr>
        <w:tc>
          <w:tcPr>
            <w:tcW w:w="4536" w:type="dxa"/>
            <w:shd w:val="clear" w:color="auto" w:fill="auto"/>
          </w:tcPr>
          <w:p w14:paraId="5C9A187F" w14:textId="5A24158E" w:rsidR="00F96B9E" w:rsidRDefault="00F96B9E" w:rsidP="00F96B9E">
            <w:pPr>
              <w:pStyle w:val="tblProposaltext"/>
            </w:pPr>
            <w:r>
              <w:t>E2</w:t>
            </w:r>
            <w:r>
              <w:tab/>
              <w:t xml:space="preserve">We propose to include in the ASIC Rules the data elements related to counterparties and beneficiaries set out in Table </w:t>
            </w:r>
            <w:r w:rsidR="00671BE8">
              <w:t>8</w:t>
            </w:r>
            <w:r>
              <w:t xml:space="preserve">. </w:t>
            </w:r>
          </w:p>
        </w:tc>
        <w:tc>
          <w:tcPr>
            <w:tcW w:w="4536" w:type="dxa"/>
            <w:shd w:val="clear" w:color="auto" w:fill="auto"/>
          </w:tcPr>
          <w:p w14:paraId="15452166" w14:textId="77777777" w:rsidR="00F96B9E" w:rsidRDefault="00F96B9E" w:rsidP="00F96B9E">
            <w:pPr>
              <w:pStyle w:val="tblFeedbackquestion"/>
            </w:pPr>
            <w:r>
              <w:t>E2Q1</w:t>
            </w:r>
            <w:r>
              <w:tab/>
              <w:t>Do you agree with this proposal? In your response, please give detailed reasons for your answer.</w:t>
            </w:r>
          </w:p>
          <w:p w14:paraId="7AA0723F" w14:textId="77777777" w:rsidR="00F96B9E" w:rsidRDefault="00F96B9E" w:rsidP="00F96B9E">
            <w:pPr>
              <w:pStyle w:val="tblFeedbackquestion"/>
            </w:pPr>
            <w:r>
              <w:t>E2Q2</w:t>
            </w:r>
            <w:r>
              <w:tab/>
              <w:t>Do you consider that you will have particular interpretation or implementation issues with the data elements set out in Table 8? In your response, please give detailed reasons for your answer.</w:t>
            </w:r>
          </w:p>
          <w:p w14:paraId="1EAAB301" w14:textId="6346C0EA" w:rsidR="00F96B9E" w:rsidRDefault="00F96B9E" w:rsidP="00F96B9E">
            <w:pPr>
              <w:pStyle w:val="tblFeedbackquestion"/>
            </w:pPr>
            <w:r>
              <w:t>E2Q3</w:t>
            </w:r>
            <w:r>
              <w:tab/>
              <w:t xml:space="preserve">In relation to ‘reporting entity’, do you consider that this should be reported in all circumstances or only reported where it is a different entity to ‘counterparty 1 (reporting counterparty)? </w:t>
            </w:r>
          </w:p>
        </w:tc>
      </w:tr>
      <w:tr w:rsidR="00F96B9E" w14:paraId="7550FBA4" w14:textId="77777777" w:rsidTr="00314C7E">
        <w:trPr>
          <w:cantSplit/>
        </w:trPr>
        <w:tc>
          <w:tcPr>
            <w:tcW w:w="4536" w:type="dxa"/>
            <w:shd w:val="clear" w:color="auto" w:fill="auto"/>
          </w:tcPr>
          <w:p w14:paraId="066205B4" w14:textId="56AC8CF9" w:rsidR="00F96B9E" w:rsidRDefault="00F96B9E" w:rsidP="00F96B9E">
            <w:pPr>
              <w:pStyle w:val="tblProposaltext"/>
            </w:pPr>
            <w:r>
              <w:t>E3</w:t>
            </w:r>
            <w:r>
              <w:tab/>
              <w:t xml:space="preserve">We propose to include in the ASIC Rules the data elements for ‘direction’ that make the same elections as proposed by ESMA—that is, the data elements ‘Direction 1’, ‘Direction 2 —Leg 1’ and ‘Direction 2—Leg 2’: see Table 10. </w:t>
            </w:r>
          </w:p>
        </w:tc>
        <w:tc>
          <w:tcPr>
            <w:tcW w:w="4536" w:type="dxa"/>
            <w:shd w:val="clear" w:color="auto" w:fill="auto"/>
          </w:tcPr>
          <w:p w14:paraId="4B3F78AC" w14:textId="77777777" w:rsidR="00F96B9E" w:rsidRDefault="00F96B9E" w:rsidP="00F96B9E">
            <w:pPr>
              <w:pStyle w:val="tblFeedbackquestion"/>
            </w:pPr>
            <w:r>
              <w:t>E3Q1</w:t>
            </w:r>
            <w:r>
              <w:tab/>
              <w:t>Do you agree with this proposal? In your response, please give detailed reasons for your answer.</w:t>
            </w:r>
          </w:p>
          <w:p w14:paraId="79816D74" w14:textId="24711AAE" w:rsidR="00F96B9E" w:rsidRDefault="00F96B9E" w:rsidP="00F96B9E">
            <w:pPr>
              <w:pStyle w:val="tblFeedbackquestion"/>
            </w:pPr>
            <w:r>
              <w:t>E3Q2</w:t>
            </w:r>
            <w:r>
              <w:tab/>
              <w:t xml:space="preserve">Do you consider that you will have particular interpretation or implementation issues with the data elements set out in Table 10? In your response, please give detailed reasons for your answer. </w:t>
            </w:r>
          </w:p>
        </w:tc>
      </w:tr>
      <w:tr w:rsidR="00F96B9E" w14:paraId="5BD7E494" w14:textId="77777777" w:rsidTr="00314C7E">
        <w:trPr>
          <w:cantSplit/>
        </w:trPr>
        <w:tc>
          <w:tcPr>
            <w:tcW w:w="4536" w:type="dxa"/>
            <w:shd w:val="clear" w:color="auto" w:fill="auto"/>
          </w:tcPr>
          <w:p w14:paraId="56B5003A" w14:textId="109FCBCC" w:rsidR="00F96B9E" w:rsidRDefault="00F96B9E" w:rsidP="00F96B9E">
            <w:pPr>
              <w:pStyle w:val="tblProposaltext"/>
            </w:pPr>
            <w:r>
              <w:lastRenderedPageBreak/>
              <w:t>E4</w:t>
            </w:r>
            <w:r>
              <w:tab/>
              <w:t xml:space="preserve">We propose to include in the ASIC Rules the data elements related to clearing, trading, confirmation and settlement set out in Table 11. </w:t>
            </w:r>
          </w:p>
        </w:tc>
        <w:tc>
          <w:tcPr>
            <w:tcW w:w="4536" w:type="dxa"/>
            <w:shd w:val="clear" w:color="auto" w:fill="auto"/>
          </w:tcPr>
          <w:p w14:paraId="54731F1B" w14:textId="77777777" w:rsidR="00F96B9E" w:rsidRDefault="00F96B9E" w:rsidP="00F96B9E">
            <w:pPr>
              <w:pStyle w:val="tblFeedbackquestion"/>
            </w:pPr>
            <w:r>
              <w:t>E4Q1</w:t>
            </w:r>
            <w:r>
              <w:tab/>
              <w:t>Do you agree with this proposal? In your response, please give detailed reasons for your answer.</w:t>
            </w:r>
          </w:p>
          <w:p w14:paraId="78D699D1" w14:textId="06187DB4" w:rsidR="00F96B9E" w:rsidRDefault="00F96B9E" w:rsidP="00F96B9E">
            <w:pPr>
              <w:pStyle w:val="tblFeedbackquestion"/>
            </w:pPr>
            <w:r>
              <w:t>E4Q2</w:t>
            </w:r>
            <w:r>
              <w:tab/>
              <w:t xml:space="preserve">Do you consider that you will have particular interpretation or implementation issues with the data elements set out in Table 11? In your response, please give detailed reasons for your answer. </w:t>
            </w:r>
          </w:p>
        </w:tc>
      </w:tr>
      <w:tr w:rsidR="00F96B9E" w14:paraId="38BF9F60" w14:textId="77777777" w:rsidTr="00314C7E">
        <w:trPr>
          <w:cantSplit/>
        </w:trPr>
        <w:tc>
          <w:tcPr>
            <w:tcW w:w="4536" w:type="dxa"/>
            <w:shd w:val="clear" w:color="auto" w:fill="auto"/>
          </w:tcPr>
          <w:p w14:paraId="3A3764A4" w14:textId="64F15B7B" w:rsidR="00F96B9E" w:rsidRDefault="00F96B9E" w:rsidP="00F96B9E">
            <w:pPr>
              <w:pStyle w:val="tblProposaltext"/>
            </w:pPr>
            <w:r>
              <w:t>E5</w:t>
            </w:r>
            <w:r>
              <w:tab/>
              <w:t xml:space="preserve">We propose to include in the ASIC Rules the data elements related to regular payments set out in Table 12. </w:t>
            </w:r>
          </w:p>
        </w:tc>
        <w:tc>
          <w:tcPr>
            <w:tcW w:w="4536" w:type="dxa"/>
            <w:shd w:val="clear" w:color="auto" w:fill="auto"/>
          </w:tcPr>
          <w:p w14:paraId="2EAA5ADD" w14:textId="77777777" w:rsidR="00F96B9E" w:rsidRDefault="00F96B9E" w:rsidP="00F96B9E">
            <w:pPr>
              <w:pStyle w:val="tblFeedbackquestion"/>
            </w:pPr>
            <w:r>
              <w:t>E5Q1</w:t>
            </w:r>
            <w:r>
              <w:tab/>
              <w:t>Do you agree with this proposal? In your response, please give detailed reasons for your answer.</w:t>
            </w:r>
          </w:p>
          <w:p w14:paraId="7A1CAA56" w14:textId="227226EA" w:rsidR="00F96B9E" w:rsidRDefault="00F96B9E" w:rsidP="00F96B9E">
            <w:pPr>
              <w:pStyle w:val="tblFeedbackquestion"/>
            </w:pPr>
            <w:r>
              <w:t>E5Q2</w:t>
            </w:r>
            <w:r>
              <w:tab/>
              <w:t xml:space="preserve">Do you consider that you will have particular interpretation or implementation issues with the data elements in Table 12? In your response, please give detailed reasons for your answer. </w:t>
            </w:r>
          </w:p>
        </w:tc>
      </w:tr>
      <w:tr w:rsidR="00F96B9E" w14:paraId="4D30A27D" w14:textId="77777777" w:rsidTr="00314C7E">
        <w:trPr>
          <w:cantSplit/>
        </w:trPr>
        <w:tc>
          <w:tcPr>
            <w:tcW w:w="4536" w:type="dxa"/>
            <w:shd w:val="clear" w:color="auto" w:fill="auto"/>
          </w:tcPr>
          <w:p w14:paraId="2771CC0D" w14:textId="1701FC2C" w:rsidR="00F96B9E" w:rsidRDefault="00F96B9E" w:rsidP="00F96B9E">
            <w:pPr>
              <w:pStyle w:val="tblProposaltext"/>
            </w:pPr>
            <w:r>
              <w:t>E6</w:t>
            </w:r>
            <w:r>
              <w:tab/>
              <w:t xml:space="preserve">We are considering a proposal, in the second round of consultation, to include in the ASIC Rules the data elements related to the floating rate reset frequency set out in Table 13. </w:t>
            </w:r>
          </w:p>
        </w:tc>
        <w:tc>
          <w:tcPr>
            <w:tcW w:w="4536" w:type="dxa"/>
            <w:shd w:val="clear" w:color="auto" w:fill="auto"/>
          </w:tcPr>
          <w:p w14:paraId="04AAFF9A" w14:textId="77777777" w:rsidR="00F96B9E" w:rsidRDefault="00F96B9E" w:rsidP="00F96B9E">
            <w:pPr>
              <w:pStyle w:val="tblFeedbackquestion"/>
            </w:pPr>
            <w:r>
              <w:t>E6Q1</w:t>
            </w:r>
            <w:r>
              <w:tab/>
              <w:t>Do you agree that we should consider a proposal, in the second round of consultation, to include these data elements in the ASIC Rules? In your response, please give detailed reasons for your answer.</w:t>
            </w:r>
          </w:p>
          <w:p w14:paraId="715F1511" w14:textId="77777777" w:rsidR="00F96B9E" w:rsidRDefault="00F96B9E" w:rsidP="00F96B9E">
            <w:pPr>
              <w:pStyle w:val="tblFeedbackquestion"/>
            </w:pPr>
            <w:r>
              <w:t>E6Q2</w:t>
            </w:r>
            <w:r>
              <w:tab/>
              <w:t>For transactions where the frequency of resets of the floating rate differ from the frequency of the reference rate itself, please provide feedback about:</w:t>
            </w:r>
          </w:p>
          <w:p w14:paraId="1CC93568" w14:textId="77777777" w:rsidR="00F96B9E" w:rsidRDefault="00F96B9E" w:rsidP="00F96B9E">
            <w:pPr>
              <w:pStyle w:val="tblFeedbacksubquestion"/>
            </w:pPr>
            <w:r>
              <w:t>(a)</w:t>
            </w:r>
            <w:r>
              <w:tab/>
              <w:t>the incidence of these types of transactions in your own dealings; and</w:t>
            </w:r>
          </w:p>
          <w:p w14:paraId="5CF7C1FA" w14:textId="77777777" w:rsidR="00F96B9E" w:rsidRDefault="00F96B9E" w:rsidP="00F96B9E">
            <w:pPr>
              <w:pStyle w:val="tblFeedbacksubquestion"/>
            </w:pPr>
            <w:r>
              <w:t>(b)</w:t>
            </w:r>
            <w:r>
              <w:tab/>
              <w:t>whether other data elements—for example, payment frequency—could be relied on, in all cases or in most cases or in few cases, to infer the ‘floating rate reset frequency (period/period multiplier)’.</w:t>
            </w:r>
          </w:p>
          <w:p w14:paraId="53ADCA24" w14:textId="4AC0C8AA" w:rsidR="00F96B9E" w:rsidRDefault="00F96B9E" w:rsidP="00F96B9E">
            <w:pPr>
              <w:pStyle w:val="tblFeedbackquestion"/>
            </w:pPr>
            <w:r>
              <w:t>E6Q3</w:t>
            </w:r>
            <w:r>
              <w:tab/>
              <w:t xml:space="preserve">Do you consider that you will have particular interpretation or implementation issues with the data elements in Table 13? In your response, please give detailed reasons for your answer. </w:t>
            </w:r>
          </w:p>
        </w:tc>
      </w:tr>
      <w:tr w:rsidR="00F96B9E" w14:paraId="54FD8E21" w14:textId="77777777" w:rsidTr="00314C7E">
        <w:trPr>
          <w:cantSplit/>
        </w:trPr>
        <w:tc>
          <w:tcPr>
            <w:tcW w:w="4536" w:type="dxa"/>
            <w:shd w:val="clear" w:color="auto" w:fill="auto"/>
          </w:tcPr>
          <w:p w14:paraId="75868028" w14:textId="0A8505F1" w:rsidR="00F96B9E" w:rsidRDefault="00F96B9E" w:rsidP="00F96B9E">
            <w:pPr>
              <w:pStyle w:val="tblProposaltext"/>
            </w:pPr>
            <w:r>
              <w:t>E7</w:t>
            </w:r>
            <w:r>
              <w:tab/>
              <w:t xml:space="preserve">We propose to include in the ASIC Rules the data elements related to valuation set out in Table 14. </w:t>
            </w:r>
          </w:p>
        </w:tc>
        <w:tc>
          <w:tcPr>
            <w:tcW w:w="4536" w:type="dxa"/>
            <w:shd w:val="clear" w:color="auto" w:fill="auto"/>
          </w:tcPr>
          <w:p w14:paraId="54F49F34" w14:textId="77777777" w:rsidR="00F96B9E" w:rsidRDefault="00F96B9E" w:rsidP="00F96B9E">
            <w:pPr>
              <w:pStyle w:val="tblFeedbackquestion"/>
            </w:pPr>
            <w:r>
              <w:t>E7Q1</w:t>
            </w:r>
            <w:r>
              <w:tab/>
              <w:t>Do you agree with this proposal? In your response, please give detailed reasons for your answer.</w:t>
            </w:r>
          </w:p>
          <w:p w14:paraId="43EF78E4" w14:textId="45DAC3EF" w:rsidR="00F96B9E" w:rsidRDefault="00F96B9E" w:rsidP="00F96B9E">
            <w:pPr>
              <w:pStyle w:val="tblFeedbackquestion"/>
            </w:pPr>
            <w:r>
              <w:t>E7Q2</w:t>
            </w:r>
            <w:r>
              <w:tab/>
              <w:t xml:space="preserve">Do you consider that you will have particular interpretation or implementation issues with the data elements in Table 14? In your response, please give detailed reasons for your answer. </w:t>
            </w:r>
          </w:p>
        </w:tc>
      </w:tr>
      <w:tr w:rsidR="00F96B9E" w14:paraId="2B4DDB04" w14:textId="77777777" w:rsidTr="00314C7E">
        <w:trPr>
          <w:cantSplit/>
        </w:trPr>
        <w:tc>
          <w:tcPr>
            <w:tcW w:w="4536" w:type="dxa"/>
            <w:shd w:val="clear" w:color="auto" w:fill="auto"/>
          </w:tcPr>
          <w:p w14:paraId="056B79C7" w14:textId="04F955C4" w:rsidR="00F96B9E" w:rsidRDefault="00F96B9E" w:rsidP="00F96B9E">
            <w:pPr>
              <w:pStyle w:val="tblProposaltext"/>
            </w:pPr>
            <w:r>
              <w:lastRenderedPageBreak/>
              <w:t>E8</w:t>
            </w:r>
            <w:r>
              <w:tab/>
              <w:t xml:space="preserve">We propose to include in the ASIC Rules the data elements related to collateral and margins set out in Table 15. </w:t>
            </w:r>
          </w:p>
        </w:tc>
        <w:tc>
          <w:tcPr>
            <w:tcW w:w="4536" w:type="dxa"/>
            <w:shd w:val="clear" w:color="auto" w:fill="auto"/>
          </w:tcPr>
          <w:p w14:paraId="5A15A679" w14:textId="77777777" w:rsidR="00F96B9E" w:rsidRDefault="00F96B9E" w:rsidP="00F96B9E">
            <w:pPr>
              <w:pStyle w:val="tblFeedbackquestion"/>
            </w:pPr>
            <w:r>
              <w:t>E8Q1</w:t>
            </w:r>
            <w:r>
              <w:tab/>
              <w:t>Do you agree with this proposal? In your response, please give detailed reasons for your answer.</w:t>
            </w:r>
          </w:p>
          <w:p w14:paraId="072B8304" w14:textId="36D393DC" w:rsidR="00F96B9E" w:rsidRDefault="00F96B9E" w:rsidP="00F96B9E">
            <w:pPr>
              <w:pStyle w:val="tblFeedbackquestion"/>
            </w:pPr>
            <w:r>
              <w:t>E8Q2</w:t>
            </w:r>
            <w:r>
              <w:tab/>
              <w:t xml:space="preserve">Do you consider that you will have particular interpretation or implementation issues with the data elements set out in Table 15? In your response, please give detailed reasons for your answer. </w:t>
            </w:r>
          </w:p>
        </w:tc>
      </w:tr>
      <w:tr w:rsidR="00F96B9E" w14:paraId="0B05575C" w14:textId="77777777" w:rsidTr="00314C7E">
        <w:trPr>
          <w:cantSplit/>
        </w:trPr>
        <w:tc>
          <w:tcPr>
            <w:tcW w:w="4536" w:type="dxa"/>
            <w:shd w:val="clear" w:color="auto" w:fill="auto"/>
          </w:tcPr>
          <w:p w14:paraId="45FE40BF" w14:textId="099BC030" w:rsidR="00F96B9E" w:rsidRDefault="00F96B9E" w:rsidP="00F96B9E">
            <w:pPr>
              <w:pStyle w:val="tblProposaltext"/>
            </w:pPr>
            <w:r>
              <w:t>E9</w:t>
            </w:r>
            <w:r>
              <w:tab/>
              <w:t xml:space="preserve">We do not propose to include in the ASIC Rules the data elements related to counterparty rating triggers set out in Table 16. </w:t>
            </w:r>
          </w:p>
        </w:tc>
        <w:tc>
          <w:tcPr>
            <w:tcW w:w="4536" w:type="dxa"/>
            <w:shd w:val="clear" w:color="auto" w:fill="auto"/>
          </w:tcPr>
          <w:p w14:paraId="4606B973" w14:textId="20F645C2" w:rsidR="00F96B9E" w:rsidRDefault="00F96B9E" w:rsidP="00F96B9E">
            <w:pPr>
              <w:pStyle w:val="tblFeedbackquestion"/>
            </w:pPr>
            <w:r>
              <w:t>E9Q1</w:t>
            </w:r>
            <w:r>
              <w:tab/>
              <w:t xml:space="preserve">Do you agree with this proposal? If not, please give detailed reasons for your answer. </w:t>
            </w:r>
          </w:p>
        </w:tc>
      </w:tr>
      <w:tr w:rsidR="00F96B9E" w14:paraId="0C18CE78" w14:textId="77777777" w:rsidTr="00314C7E">
        <w:trPr>
          <w:cantSplit/>
        </w:trPr>
        <w:tc>
          <w:tcPr>
            <w:tcW w:w="4536" w:type="dxa"/>
            <w:shd w:val="clear" w:color="auto" w:fill="auto"/>
          </w:tcPr>
          <w:p w14:paraId="13F29B93" w14:textId="79E08C26" w:rsidR="00F96B9E" w:rsidRDefault="00F96B9E" w:rsidP="00F96B9E">
            <w:pPr>
              <w:pStyle w:val="tblProposaltext"/>
            </w:pPr>
            <w:r>
              <w:t>E10</w:t>
            </w:r>
            <w:r>
              <w:tab/>
              <w:t>We propose to include in the ASIC Rules the data elements related to prices set out in Table</w:t>
            </w:r>
            <w:r w:rsidR="00744341">
              <w:t> </w:t>
            </w:r>
            <w:r>
              <w:t xml:space="preserve">18. </w:t>
            </w:r>
          </w:p>
        </w:tc>
        <w:tc>
          <w:tcPr>
            <w:tcW w:w="4536" w:type="dxa"/>
            <w:shd w:val="clear" w:color="auto" w:fill="auto"/>
          </w:tcPr>
          <w:p w14:paraId="2EB4355F" w14:textId="77777777" w:rsidR="00F96B9E" w:rsidRDefault="00F96B9E" w:rsidP="00F96B9E">
            <w:pPr>
              <w:pStyle w:val="tblFeedbackquestion"/>
            </w:pPr>
            <w:r>
              <w:t>E10Q1</w:t>
            </w:r>
            <w:r>
              <w:tab/>
              <w:t>Do you agree with this proposal? In your response, please give detailed reasons for your answer.</w:t>
            </w:r>
          </w:p>
          <w:p w14:paraId="5D471C62" w14:textId="6F2A4194" w:rsidR="00F96B9E" w:rsidRDefault="00F96B9E" w:rsidP="00F96B9E">
            <w:pPr>
              <w:pStyle w:val="tblFeedbackquestion"/>
            </w:pPr>
            <w:r>
              <w:t>E10Q2</w:t>
            </w:r>
            <w:r>
              <w:tab/>
              <w:t xml:space="preserve">Do you consider that you will have particular interpretation or implementation issues with the data elements in Table 18? In your response, please give detailed reasons for your answer. </w:t>
            </w:r>
          </w:p>
        </w:tc>
      </w:tr>
      <w:tr w:rsidR="00F96B9E" w14:paraId="18738807" w14:textId="77777777" w:rsidTr="00314C7E">
        <w:trPr>
          <w:cantSplit/>
        </w:trPr>
        <w:tc>
          <w:tcPr>
            <w:tcW w:w="4536" w:type="dxa"/>
            <w:shd w:val="clear" w:color="auto" w:fill="auto"/>
          </w:tcPr>
          <w:p w14:paraId="6E16193C" w14:textId="7C6E19DC" w:rsidR="00F96B9E" w:rsidRDefault="00F96B9E" w:rsidP="00F96B9E">
            <w:pPr>
              <w:pStyle w:val="tblProposaltext"/>
            </w:pPr>
            <w:r>
              <w:t>E11</w:t>
            </w:r>
            <w:r>
              <w:tab/>
              <w:t xml:space="preserve">We are considering proposing, in the second round of consultation, to include in the ASIC Rules the data elements related to prices set out in Table 19. </w:t>
            </w:r>
          </w:p>
        </w:tc>
        <w:tc>
          <w:tcPr>
            <w:tcW w:w="4536" w:type="dxa"/>
            <w:shd w:val="clear" w:color="auto" w:fill="auto"/>
          </w:tcPr>
          <w:p w14:paraId="131670AF" w14:textId="77777777" w:rsidR="00F96B9E" w:rsidRDefault="00F96B9E" w:rsidP="00F96B9E">
            <w:pPr>
              <w:pStyle w:val="tblFeedbackquestion"/>
            </w:pPr>
            <w:r>
              <w:t>E11Q1</w:t>
            </w:r>
            <w:r>
              <w:tab/>
              <w:t>Do you agree that we should consider a proposal, in the second round of consultation, to include these data elements in the ASIC Rules? In your response, please give detailed reasons for your answer.</w:t>
            </w:r>
          </w:p>
          <w:p w14:paraId="5F7D6D10" w14:textId="77777777" w:rsidR="00F96B9E" w:rsidRDefault="00F96B9E" w:rsidP="00F96B9E">
            <w:pPr>
              <w:pStyle w:val="tblFeedbackquestion"/>
            </w:pPr>
            <w:r>
              <w:t>E11Q2</w:t>
            </w:r>
            <w:r>
              <w:tab/>
              <w:t>For transactions involving ‘price schedules’ or ‘strike price schedules’, please provide feedback about:</w:t>
            </w:r>
          </w:p>
          <w:p w14:paraId="19C0C78C" w14:textId="77777777" w:rsidR="00F96B9E" w:rsidRDefault="00F96B9E" w:rsidP="00F96B9E">
            <w:pPr>
              <w:pStyle w:val="tblFeedbacksubquestion"/>
            </w:pPr>
            <w:r>
              <w:t>(a)</w:t>
            </w:r>
            <w:r>
              <w:tab/>
              <w:t>the incidence of such types of transactions in your own dealings; and</w:t>
            </w:r>
          </w:p>
          <w:p w14:paraId="7E5F3CA6" w14:textId="77777777" w:rsidR="00F96B9E" w:rsidRDefault="00F96B9E" w:rsidP="00F96B9E">
            <w:pPr>
              <w:pStyle w:val="tblFeedbacksubquestion"/>
            </w:pPr>
            <w:r>
              <w:t>(b)</w:t>
            </w:r>
            <w:r>
              <w:tab/>
              <w:t>whether you prefer to provide this information in your initial transaction report as a ‘schedule’ rather than reporting the changes according to the ‘schedule’ in subsequent transaction reports.</w:t>
            </w:r>
          </w:p>
          <w:p w14:paraId="5FB3F152" w14:textId="77777777" w:rsidR="00F96B9E" w:rsidRDefault="00F96B9E" w:rsidP="00F96B9E">
            <w:pPr>
              <w:pStyle w:val="tblFeedbackquestion"/>
            </w:pPr>
            <w:r>
              <w:t>E11Q3</w:t>
            </w:r>
            <w:r>
              <w:tab/>
              <w:t>For transactions where ‘first exercise date’ would be reported as a value that is not otherwise reported in another data element, please provide feedback about the incidence of such types of transactions in your own dealings and any other feedback.</w:t>
            </w:r>
          </w:p>
          <w:p w14:paraId="60D2F7A6" w14:textId="4BA61AE8" w:rsidR="00F96B9E" w:rsidRDefault="00F96B9E" w:rsidP="00F96B9E">
            <w:pPr>
              <w:pStyle w:val="tblFeedbackquestion"/>
            </w:pPr>
            <w:r>
              <w:t>E11Q4</w:t>
            </w:r>
            <w:r>
              <w:tab/>
              <w:t xml:space="preserve">Do you consider that you will have particular interpretation or implementation issues with the data elements set out in Table 19? In your response, please give detailed reasons for your answer. </w:t>
            </w:r>
          </w:p>
        </w:tc>
      </w:tr>
      <w:tr w:rsidR="00F96B9E" w14:paraId="2F748E2F" w14:textId="77777777" w:rsidTr="00314C7E">
        <w:trPr>
          <w:cantSplit/>
        </w:trPr>
        <w:tc>
          <w:tcPr>
            <w:tcW w:w="4536" w:type="dxa"/>
            <w:shd w:val="clear" w:color="auto" w:fill="auto"/>
          </w:tcPr>
          <w:p w14:paraId="5CE993A8" w14:textId="0BCF1951" w:rsidR="00F96B9E" w:rsidRDefault="00F96B9E" w:rsidP="00F96B9E">
            <w:pPr>
              <w:pStyle w:val="tblProposaltext"/>
            </w:pPr>
            <w:r>
              <w:lastRenderedPageBreak/>
              <w:t>E12</w:t>
            </w:r>
            <w:r>
              <w:tab/>
              <w:t xml:space="preserve">We propose to include in the ASIC Rules the data elements related to notional amounts and quantities set out in Table 20. </w:t>
            </w:r>
          </w:p>
        </w:tc>
        <w:tc>
          <w:tcPr>
            <w:tcW w:w="4536" w:type="dxa"/>
            <w:shd w:val="clear" w:color="auto" w:fill="auto"/>
          </w:tcPr>
          <w:p w14:paraId="14337BFC" w14:textId="77777777" w:rsidR="00F96B9E" w:rsidRDefault="00F96B9E" w:rsidP="00F96B9E">
            <w:pPr>
              <w:pStyle w:val="tblFeedbackquestion"/>
            </w:pPr>
            <w:r>
              <w:t>E12Q1</w:t>
            </w:r>
            <w:r>
              <w:tab/>
              <w:t>Do you agree with this proposal? In your response, please give detailed reasons for your answer.</w:t>
            </w:r>
          </w:p>
          <w:p w14:paraId="1EA915F2" w14:textId="77777777" w:rsidR="00F96B9E" w:rsidRDefault="00F96B9E" w:rsidP="00F96B9E">
            <w:pPr>
              <w:pStyle w:val="tblFeedbackquestion"/>
            </w:pPr>
            <w:r>
              <w:t>E12Q2</w:t>
            </w:r>
            <w:r>
              <w:tab/>
              <w:t>Do you consider that you will have particular interpretation or implementation issues with the data elements set out in Table 20? In your response, please give detailed reasons for your answer.</w:t>
            </w:r>
          </w:p>
          <w:p w14:paraId="07D27238" w14:textId="3C0AFE28" w:rsidR="00F96B9E" w:rsidRDefault="00F96B9E" w:rsidP="00F96B9E">
            <w:pPr>
              <w:pStyle w:val="tblFeedbackquestion"/>
            </w:pPr>
            <w:r>
              <w:t>E12Q3</w:t>
            </w:r>
            <w:r>
              <w:tab/>
              <w:t xml:space="preserve">Do you consider that the identification of which currency data elements are the call option/put option data elements in a foreign exchange option could, or should, be simplified by, for example, only specifying the call currency? In your response, please give detailed reasons for your answer. </w:t>
            </w:r>
          </w:p>
        </w:tc>
      </w:tr>
      <w:tr w:rsidR="00F96B9E" w14:paraId="0DA9B416" w14:textId="77777777" w:rsidTr="00314C7E">
        <w:trPr>
          <w:cantSplit/>
        </w:trPr>
        <w:tc>
          <w:tcPr>
            <w:tcW w:w="4536" w:type="dxa"/>
            <w:shd w:val="clear" w:color="auto" w:fill="auto"/>
          </w:tcPr>
          <w:p w14:paraId="187F3B71" w14:textId="709DEA55" w:rsidR="00F96B9E" w:rsidRDefault="00F96B9E" w:rsidP="00F96B9E">
            <w:pPr>
              <w:pStyle w:val="tblProposaltext"/>
            </w:pPr>
            <w:r>
              <w:t>E13</w:t>
            </w:r>
            <w:r>
              <w:tab/>
              <w:t xml:space="preserve">We are considering proposing, in the second round of consultation, to include in the ASIC Rules the data elements related to notional quantities set out in Table 21. </w:t>
            </w:r>
          </w:p>
        </w:tc>
        <w:tc>
          <w:tcPr>
            <w:tcW w:w="4536" w:type="dxa"/>
            <w:shd w:val="clear" w:color="auto" w:fill="auto"/>
          </w:tcPr>
          <w:p w14:paraId="1823DB61" w14:textId="77777777" w:rsidR="00F96B9E" w:rsidRDefault="00F96B9E" w:rsidP="00F96B9E">
            <w:pPr>
              <w:pStyle w:val="tblFeedbackquestion"/>
            </w:pPr>
            <w:r>
              <w:t>E13Q1</w:t>
            </w:r>
            <w:r>
              <w:tab/>
              <w:t>Do you agree that we should consider a proposal, in the second round of consultation, to include these data elements in the ASIC Rules? In your response, please give detailed reasons for your answer.</w:t>
            </w:r>
          </w:p>
          <w:p w14:paraId="527FE97E" w14:textId="77777777" w:rsidR="00F96B9E" w:rsidRDefault="00F96B9E" w:rsidP="00F96B9E">
            <w:pPr>
              <w:pStyle w:val="tblFeedbackquestion"/>
            </w:pPr>
            <w:r>
              <w:t>E13Q2</w:t>
            </w:r>
            <w:r>
              <w:tab/>
              <w:t>For transactions involving ‘notional quantity schedules’, please provide feedback about:</w:t>
            </w:r>
          </w:p>
          <w:p w14:paraId="3BABCCFF" w14:textId="77777777" w:rsidR="00F96B9E" w:rsidRDefault="00F96B9E" w:rsidP="00F96B9E">
            <w:pPr>
              <w:pStyle w:val="tblFeedbacksubquestion"/>
            </w:pPr>
            <w:r>
              <w:t>(a)</w:t>
            </w:r>
            <w:r>
              <w:tab/>
              <w:t>the incidence of such types of transactions in your own dealings; and</w:t>
            </w:r>
          </w:p>
          <w:p w14:paraId="72B3AB33" w14:textId="77777777" w:rsidR="00F96B9E" w:rsidRDefault="00F96B9E" w:rsidP="00F96B9E">
            <w:pPr>
              <w:pStyle w:val="tblFeedbacksubquestion"/>
            </w:pPr>
            <w:r>
              <w:t>(b)</w:t>
            </w:r>
            <w:r>
              <w:tab/>
              <w:t>if the relationship between quantity, price and notional can be relied on to infer a ‘notional quantity schedule’ from a ‘notional amount schedule; and</w:t>
            </w:r>
          </w:p>
          <w:p w14:paraId="490C08CE" w14:textId="77777777" w:rsidR="00F96B9E" w:rsidRDefault="00F96B9E" w:rsidP="00F96B9E">
            <w:pPr>
              <w:pStyle w:val="tblFeedbacksubquestion"/>
            </w:pPr>
            <w:r>
              <w:t>(c)</w:t>
            </w:r>
            <w:r>
              <w:tab/>
              <w:t>whether you prefer to provide this information in your initial transaction report as a ‘schedule’ rather than reporting the changes according to the ‘schedule’ in subsequent transaction reports.</w:t>
            </w:r>
          </w:p>
          <w:p w14:paraId="64182754" w14:textId="4AEB3A46" w:rsidR="00F96B9E" w:rsidRDefault="00F96B9E" w:rsidP="00F96B9E">
            <w:pPr>
              <w:pStyle w:val="tblFeedbackquestion"/>
            </w:pPr>
            <w:r>
              <w:t>E13Q3</w:t>
            </w:r>
            <w:r>
              <w:tab/>
              <w:t xml:space="preserve">Do you consider that you will have particular interpretation or implementation issues with the data elements set out in Table 21? In your response, please give detailed reasons for your answer. </w:t>
            </w:r>
          </w:p>
        </w:tc>
      </w:tr>
      <w:tr w:rsidR="00F96B9E" w14:paraId="20239ED2" w14:textId="77777777" w:rsidTr="00314C7E">
        <w:trPr>
          <w:cantSplit/>
        </w:trPr>
        <w:tc>
          <w:tcPr>
            <w:tcW w:w="4536" w:type="dxa"/>
            <w:shd w:val="clear" w:color="auto" w:fill="auto"/>
          </w:tcPr>
          <w:p w14:paraId="3AFF9095" w14:textId="6859F2CB" w:rsidR="00F96B9E" w:rsidRDefault="00F96B9E" w:rsidP="00F96B9E">
            <w:pPr>
              <w:pStyle w:val="tblProposaltext"/>
            </w:pPr>
            <w:r>
              <w:t>E14</w:t>
            </w:r>
            <w:r>
              <w:tab/>
              <w:t xml:space="preserve">We propose to include in the ASIC Rules the data elements related to CDS index transactions set out in Table 22. </w:t>
            </w:r>
          </w:p>
        </w:tc>
        <w:tc>
          <w:tcPr>
            <w:tcW w:w="4536" w:type="dxa"/>
            <w:shd w:val="clear" w:color="auto" w:fill="auto"/>
          </w:tcPr>
          <w:p w14:paraId="3B983C71" w14:textId="77777777" w:rsidR="00F96B9E" w:rsidRDefault="00F96B9E" w:rsidP="00F96B9E">
            <w:pPr>
              <w:pStyle w:val="tblFeedbackquestion"/>
            </w:pPr>
            <w:r>
              <w:t>E14Q1</w:t>
            </w:r>
            <w:r>
              <w:tab/>
              <w:t>Do you agree with this proposal? In your response, please give detailed reasons for your answer.</w:t>
            </w:r>
          </w:p>
          <w:p w14:paraId="795A8169" w14:textId="3713889C" w:rsidR="00F96B9E" w:rsidRDefault="00F96B9E" w:rsidP="00F96B9E">
            <w:pPr>
              <w:pStyle w:val="tblFeedbackquestion"/>
            </w:pPr>
            <w:r>
              <w:t>E14Q2</w:t>
            </w:r>
            <w:r>
              <w:tab/>
              <w:t xml:space="preserve">Do you consider that you will have particular interpretation or implementation issues with the data elements set out in Table 22? In your response, please give detailed reasons for your answer. </w:t>
            </w:r>
          </w:p>
        </w:tc>
      </w:tr>
      <w:tr w:rsidR="00F96B9E" w14:paraId="7A8295F5" w14:textId="77777777" w:rsidTr="00314C7E">
        <w:trPr>
          <w:cantSplit/>
        </w:trPr>
        <w:tc>
          <w:tcPr>
            <w:tcW w:w="4536" w:type="dxa"/>
            <w:shd w:val="clear" w:color="auto" w:fill="auto"/>
          </w:tcPr>
          <w:p w14:paraId="2A5DCCF2" w14:textId="4098CECC" w:rsidR="00F96B9E" w:rsidRDefault="00F96B9E" w:rsidP="00F96B9E">
            <w:pPr>
              <w:pStyle w:val="tblProposaltext"/>
            </w:pPr>
            <w:r>
              <w:lastRenderedPageBreak/>
              <w:t>E15</w:t>
            </w:r>
            <w:r>
              <w:tab/>
              <w:t xml:space="preserve">We propose to include in the ASIC Rules the data elements related to other payments set out in Table 23. </w:t>
            </w:r>
          </w:p>
        </w:tc>
        <w:tc>
          <w:tcPr>
            <w:tcW w:w="4536" w:type="dxa"/>
            <w:shd w:val="clear" w:color="auto" w:fill="auto"/>
          </w:tcPr>
          <w:p w14:paraId="217EBAEA" w14:textId="77777777" w:rsidR="00F96B9E" w:rsidRDefault="00F96B9E" w:rsidP="00F96B9E">
            <w:pPr>
              <w:pStyle w:val="tblFeedbackquestion"/>
            </w:pPr>
            <w:r>
              <w:t>E15Q1</w:t>
            </w:r>
            <w:r>
              <w:tab/>
              <w:t>Do you agree with this proposal? In your response, please give detailed reasons for your answer.</w:t>
            </w:r>
          </w:p>
          <w:p w14:paraId="6B8C255F" w14:textId="3728FF56" w:rsidR="00F96B9E" w:rsidRDefault="00F96B9E" w:rsidP="00F96B9E">
            <w:pPr>
              <w:pStyle w:val="tblFeedbackquestion"/>
            </w:pPr>
            <w:r>
              <w:t>E15Q2</w:t>
            </w:r>
            <w:r>
              <w:tab/>
              <w:t xml:space="preserve">Do you consider that you will have particular interpretation or implementation issues with the data elements set out in Table 23? In your response, please give detailed reasons for your answer. </w:t>
            </w:r>
          </w:p>
        </w:tc>
      </w:tr>
      <w:tr w:rsidR="00F96B9E" w14:paraId="6A668FA5" w14:textId="77777777" w:rsidTr="00314C7E">
        <w:trPr>
          <w:cantSplit/>
        </w:trPr>
        <w:tc>
          <w:tcPr>
            <w:tcW w:w="4536" w:type="dxa"/>
            <w:shd w:val="clear" w:color="auto" w:fill="auto"/>
          </w:tcPr>
          <w:p w14:paraId="3D5834B2" w14:textId="26299AB9" w:rsidR="00F96B9E" w:rsidRDefault="00F96B9E" w:rsidP="00F96B9E">
            <w:pPr>
              <w:pStyle w:val="tblProposaltext"/>
            </w:pPr>
            <w:r>
              <w:t>E16</w:t>
            </w:r>
            <w:r>
              <w:tab/>
              <w:t xml:space="preserve">We propose to include in the ASIC Rules the data elements related to packages and links set out in Table 24. </w:t>
            </w:r>
          </w:p>
        </w:tc>
        <w:tc>
          <w:tcPr>
            <w:tcW w:w="4536" w:type="dxa"/>
            <w:shd w:val="clear" w:color="auto" w:fill="auto"/>
          </w:tcPr>
          <w:p w14:paraId="4EFDA17F" w14:textId="77777777" w:rsidR="00F96B9E" w:rsidRDefault="00F96B9E" w:rsidP="00F96B9E">
            <w:pPr>
              <w:pStyle w:val="tblFeedbackquestion"/>
            </w:pPr>
            <w:r>
              <w:t>E16Q1</w:t>
            </w:r>
            <w:r>
              <w:tab/>
              <w:t>Do you agree with this proposal? In your response, please give detailed reasons for your answer.</w:t>
            </w:r>
          </w:p>
          <w:p w14:paraId="7BEA6661" w14:textId="31B23184" w:rsidR="00F96B9E" w:rsidRDefault="00F96B9E" w:rsidP="00F96B9E">
            <w:pPr>
              <w:pStyle w:val="tblFeedbackquestion"/>
            </w:pPr>
            <w:r>
              <w:t>E16Q2</w:t>
            </w:r>
            <w:r>
              <w:tab/>
              <w:t xml:space="preserve">Do you consider that you will have particular interpretation or implementation issues with the data elements set out in Table 24? In your response, please give detailed reasons for your answer. </w:t>
            </w:r>
          </w:p>
        </w:tc>
      </w:tr>
      <w:tr w:rsidR="00F96B9E" w14:paraId="55F13485" w14:textId="77777777" w:rsidTr="00314C7E">
        <w:trPr>
          <w:cantSplit/>
        </w:trPr>
        <w:tc>
          <w:tcPr>
            <w:tcW w:w="4536" w:type="dxa"/>
            <w:shd w:val="clear" w:color="auto" w:fill="auto"/>
          </w:tcPr>
          <w:p w14:paraId="4FF512C2" w14:textId="576A88FE" w:rsidR="00F96B9E" w:rsidRDefault="00F96B9E" w:rsidP="00F96B9E">
            <w:pPr>
              <w:pStyle w:val="tblProposaltext"/>
            </w:pPr>
            <w:r>
              <w:t>E17</w:t>
            </w:r>
            <w:r>
              <w:tab/>
              <w:t xml:space="preserve">We propose to include in the ASIC Rules the data elements related to custom baskets set out in Table 25. </w:t>
            </w:r>
          </w:p>
        </w:tc>
        <w:tc>
          <w:tcPr>
            <w:tcW w:w="4536" w:type="dxa"/>
            <w:shd w:val="clear" w:color="auto" w:fill="auto"/>
          </w:tcPr>
          <w:p w14:paraId="1AC62476" w14:textId="77777777" w:rsidR="00F96B9E" w:rsidRDefault="00F96B9E" w:rsidP="00F96B9E">
            <w:pPr>
              <w:pStyle w:val="tblFeedbackquestion"/>
            </w:pPr>
            <w:r>
              <w:t>E17Q1</w:t>
            </w:r>
            <w:r>
              <w:tab/>
              <w:t>Do you agree with this proposal? In your response, please give detailed reasons for your answer.</w:t>
            </w:r>
          </w:p>
          <w:p w14:paraId="07DD757F" w14:textId="2382941F" w:rsidR="00F96B9E" w:rsidRDefault="00F96B9E" w:rsidP="00F96B9E">
            <w:pPr>
              <w:pStyle w:val="tblFeedbackquestion"/>
            </w:pPr>
            <w:r>
              <w:t>E17Q2</w:t>
            </w:r>
            <w:r>
              <w:tab/>
              <w:t xml:space="preserve">Do you consider that you will have particular interpretation or implementation issues with the data elements set out in Table 25? In your response, please give detailed reasons for your answer. </w:t>
            </w:r>
          </w:p>
        </w:tc>
      </w:tr>
      <w:tr w:rsidR="00F96B9E" w14:paraId="730C8FBB" w14:textId="77777777" w:rsidTr="00314C7E">
        <w:trPr>
          <w:cantSplit/>
        </w:trPr>
        <w:tc>
          <w:tcPr>
            <w:tcW w:w="4536" w:type="dxa"/>
            <w:shd w:val="clear" w:color="auto" w:fill="auto"/>
          </w:tcPr>
          <w:p w14:paraId="47ACA191" w14:textId="4BBBE741" w:rsidR="00F96B9E" w:rsidRDefault="00F96B9E" w:rsidP="00F96B9E">
            <w:pPr>
              <w:pStyle w:val="tblProposaltext"/>
            </w:pPr>
            <w:r>
              <w:t>E18</w:t>
            </w:r>
            <w:r>
              <w:tab/>
              <w:t xml:space="preserve">We are considering proposing, in the second round of consultation, to include in the ASIC Rules the data elements related to custom baskets set out in Table 26. </w:t>
            </w:r>
          </w:p>
        </w:tc>
        <w:tc>
          <w:tcPr>
            <w:tcW w:w="4536" w:type="dxa"/>
            <w:shd w:val="clear" w:color="auto" w:fill="auto"/>
          </w:tcPr>
          <w:p w14:paraId="0A3C79E2" w14:textId="77777777" w:rsidR="00F96B9E" w:rsidRDefault="00F96B9E" w:rsidP="00F96B9E">
            <w:pPr>
              <w:pStyle w:val="tblFeedbackquestion"/>
            </w:pPr>
            <w:r>
              <w:t>E18Q1</w:t>
            </w:r>
            <w:r>
              <w:tab/>
              <w:t>Do you agree that we should consider a proposal, in the second round of consultation, to include these data elements in the ASIC Rules? In your response, please give detailed reasons for your answer.</w:t>
            </w:r>
          </w:p>
          <w:p w14:paraId="44BF1EC7" w14:textId="136DF601" w:rsidR="00F96B9E" w:rsidRDefault="00F96B9E" w:rsidP="00F96B9E">
            <w:pPr>
              <w:pStyle w:val="tblFeedbackquestion"/>
            </w:pPr>
            <w:r>
              <w:t>E18Q2</w:t>
            </w:r>
            <w:r>
              <w:tab/>
              <w:t xml:space="preserve">Do you consider that you will have particular interpretation or implementation issues with the data elements set out in Table 26? In your response, please give detailed reasons for your answer. </w:t>
            </w:r>
          </w:p>
        </w:tc>
      </w:tr>
      <w:tr w:rsidR="00F96B9E" w14:paraId="6E008F4B" w14:textId="77777777" w:rsidTr="00314C7E">
        <w:trPr>
          <w:cantSplit/>
        </w:trPr>
        <w:tc>
          <w:tcPr>
            <w:tcW w:w="4536" w:type="dxa"/>
            <w:shd w:val="clear" w:color="auto" w:fill="auto"/>
          </w:tcPr>
          <w:p w14:paraId="58002C2E" w14:textId="694D58DB" w:rsidR="00F96B9E" w:rsidRDefault="00F96B9E" w:rsidP="00F96B9E">
            <w:pPr>
              <w:pStyle w:val="tblProposaltext"/>
            </w:pPr>
            <w:r>
              <w:t>E19</w:t>
            </w:r>
            <w:r>
              <w:tab/>
              <w:t xml:space="preserve">We propose to include in the ASIC Rules the non-CDE data elements set out in Table 27. </w:t>
            </w:r>
          </w:p>
        </w:tc>
        <w:tc>
          <w:tcPr>
            <w:tcW w:w="4536" w:type="dxa"/>
            <w:shd w:val="clear" w:color="auto" w:fill="auto"/>
          </w:tcPr>
          <w:p w14:paraId="46F529CF" w14:textId="77777777" w:rsidR="00F96B9E" w:rsidRDefault="00F96B9E" w:rsidP="00F96B9E">
            <w:pPr>
              <w:pStyle w:val="tblFeedbackquestion"/>
            </w:pPr>
            <w:r>
              <w:t>E19Q1</w:t>
            </w:r>
            <w:r>
              <w:tab/>
              <w:t>Do you agree with this proposal? In your response, please give detailed reasons for your answer.</w:t>
            </w:r>
          </w:p>
          <w:p w14:paraId="19ABC711" w14:textId="6BDFBEBB" w:rsidR="00F96B9E" w:rsidRDefault="00F96B9E" w:rsidP="00F96B9E">
            <w:pPr>
              <w:pStyle w:val="tblFeedbackquestion"/>
            </w:pPr>
            <w:r>
              <w:t>E19Q2</w:t>
            </w:r>
            <w:r>
              <w:tab/>
              <w:t xml:space="preserve">Do you consider that you will have particular interpretation or implementation issues with the data elements set out in Table 27? In your response, please give detailed reasons for your answer. </w:t>
            </w:r>
          </w:p>
        </w:tc>
      </w:tr>
      <w:tr w:rsidR="00F96B9E" w14:paraId="370A5DE8" w14:textId="77777777" w:rsidTr="00314C7E">
        <w:trPr>
          <w:cantSplit/>
        </w:trPr>
        <w:tc>
          <w:tcPr>
            <w:tcW w:w="4536" w:type="dxa"/>
            <w:shd w:val="clear" w:color="auto" w:fill="auto"/>
          </w:tcPr>
          <w:p w14:paraId="31103CB7" w14:textId="216172F3" w:rsidR="00F96B9E" w:rsidRDefault="00F96B9E" w:rsidP="00F96B9E">
            <w:pPr>
              <w:pStyle w:val="tblProposaltext"/>
            </w:pPr>
            <w:r>
              <w:lastRenderedPageBreak/>
              <w:t>E20</w:t>
            </w:r>
            <w:r>
              <w:tab/>
              <w:t xml:space="preserve">We are considering proposing, in the second round of consultation, to include in the ASIC Rules the data elements related to custom baskets set out in Table 28. </w:t>
            </w:r>
          </w:p>
        </w:tc>
        <w:tc>
          <w:tcPr>
            <w:tcW w:w="4536" w:type="dxa"/>
            <w:shd w:val="clear" w:color="auto" w:fill="auto"/>
          </w:tcPr>
          <w:p w14:paraId="17059510" w14:textId="77777777" w:rsidR="00F96B9E" w:rsidRDefault="00F96B9E" w:rsidP="00F96B9E">
            <w:pPr>
              <w:pStyle w:val="tblFeedbackquestion"/>
            </w:pPr>
            <w:r>
              <w:t>E20Q1</w:t>
            </w:r>
            <w:r>
              <w:tab/>
              <w:t>Do you agree that we should consider a proposal, in the second round of consultation, to include these data elements in the ASIC Rules? In your response, please give detailed reasons for your answer.</w:t>
            </w:r>
          </w:p>
          <w:p w14:paraId="56F60428" w14:textId="3035BC54" w:rsidR="00F96B9E" w:rsidRDefault="00F96B9E" w:rsidP="00F96B9E">
            <w:pPr>
              <w:pStyle w:val="tblFeedbackquestion"/>
            </w:pPr>
            <w:r>
              <w:t>E20Q2</w:t>
            </w:r>
            <w:r>
              <w:tab/>
              <w:t xml:space="preserve">Do you consider that you will have particular interpretation or implementation issues with the data elements set out in Table 28? In your response, please give detailed reasons for your answer. </w:t>
            </w:r>
          </w:p>
        </w:tc>
      </w:tr>
      <w:tr w:rsidR="00F96B9E" w14:paraId="4E0509AA" w14:textId="77777777" w:rsidTr="00314C7E">
        <w:trPr>
          <w:cantSplit/>
        </w:trPr>
        <w:tc>
          <w:tcPr>
            <w:tcW w:w="4536" w:type="dxa"/>
            <w:shd w:val="clear" w:color="auto" w:fill="auto"/>
          </w:tcPr>
          <w:p w14:paraId="4CB2263D" w14:textId="06CFE1B2" w:rsidR="00F96B9E" w:rsidRDefault="00F96B9E" w:rsidP="00F96B9E">
            <w:pPr>
              <w:pStyle w:val="tblProposaltext"/>
            </w:pPr>
            <w:r>
              <w:t>E21</w:t>
            </w:r>
            <w:r>
              <w:tab/>
              <w:t xml:space="preserve">We propose to develop and prescribe technical specifications to the ASIC Rules as a writing that is applied under the ASIC Rules as in force or existing from time to time. </w:t>
            </w:r>
          </w:p>
        </w:tc>
        <w:tc>
          <w:tcPr>
            <w:tcW w:w="4536" w:type="dxa"/>
            <w:shd w:val="clear" w:color="auto" w:fill="auto"/>
          </w:tcPr>
          <w:p w14:paraId="51333908" w14:textId="77777777" w:rsidR="00F96B9E" w:rsidRDefault="00F96B9E" w:rsidP="00F96B9E">
            <w:pPr>
              <w:pStyle w:val="tblFeedbackquestion"/>
            </w:pPr>
            <w:r>
              <w:t>E21Q1</w:t>
            </w:r>
            <w:r>
              <w:tab/>
              <w:t>Do you agree with this proposal? In your response, please give detailed reasons for your answer.</w:t>
            </w:r>
          </w:p>
          <w:p w14:paraId="6971CE52" w14:textId="76901EF6" w:rsidR="00F96B9E" w:rsidRDefault="00F96B9E" w:rsidP="00F96B9E">
            <w:pPr>
              <w:pStyle w:val="tblFeedbackquestion"/>
            </w:pPr>
            <w:r>
              <w:t>E21Q2</w:t>
            </w:r>
            <w:r>
              <w:tab/>
              <w:t xml:space="preserve">Do you suggest that we should model the form of a technical specification on one or more existing technical specification related to transaction </w:t>
            </w:r>
            <w:proofErr w:type="gramStart"/>
            <w:r>
              <w:t>reporting?</w:t>
            </w:r>
            <w:proofErr w:type="gramEnd"/>
            <w:r>
              <w:t xml:space="preserve"> In your response, please give detailed reasons for your answer. </w:t>
            </w:r>
          </w:p>
        </w:tc>
      </w:tr>
      <w:tr w:rsidR="00F96B9E" w14:paraId="4BD66454" w14:textId="77777777" w:rsidTr="00314C7E">
        <w:trPr>
          <w:cantSplit/>
        </w:trPr>
        <w:tc>
          <w:tcPr>
            <w:tcW w:w="4536" w:type="dxa"/>
            <w:shd w:val="clear" w:color="auto" w:fill="auto"/>
          </w:tcPr>
          <w:p w14:paraId="7E8947F9" w14:textId="77777777" w:rsidR="00F96B9E" w:rsidRDefault="00F96B9E" w:rsidP="00F96B9E">
            <w:pPr>
              <w:pStyle w:val="tblProposaltext"/>
            </w:pPr>
            <w:r>
              <w:t>F1</w:t>
            </w:r>
            <w:r>
              <w:tab/>
              <w:t>We propose to amend the ASIC Rules to:</w:t>
            </w:r>
          </w:p>
          <w:p w14:paraId="58F9070D" w14:textId="77777777" w:rsidR="00F96B9E" w:rsidRDefault="00F96B9E" w:rsidP="00F96B9E">
            <w:pPr>
              <w:pStyle w:val="tblProposalsubpara"/>
            </w:pPr>
            <w:r>
              <w:t>(a)</w:t>
            </w:r>
            <w:r>
              <w:tab/>
              <w:t>require that entity identifiers must be valid and duly renewed LEIs (other than for entities that are natural persons not acting in a business capacity); and</w:t>
            </w:r>
          </w:p>
          <w:p w14:paraId="2925E830" w14:textId="7833DB8B" w:rsidR="00F96B9E" w:rsidRDefault="00F96B9E" w:rsidP="00F96B9E">
            <w:pPr>
              <w:pStyle w:val="tblProposalsubpara"/>
            </w:pPr>
            <w:r>
              <w:t>(b)</w:t>
            </w:r>
            <w:r>
              <w:tab/>
              <w:t xml:space="preserve">require that transactions that have been reported with entity identifiers that are not valid and duly renewed LEIs have their transaction information updated to include a valid and duly renewed LEI. </w:t>
            </w:r>
          </w:p>
        </w:tc>
        <w:tc>
          <w:tcPr>
            <w:tcW w:w="4536" w:type="dxa"/>
            <w:shd w:val="clear" w:color="auto" w:fill="auto"/>
          </w:tcPr>
          <w:p w14:paraId="38716354" w14:textId="77777777" w:rsidR="00F96B9E" w:rsidRDefault="00F96B9E" w:rsidP="00F96B9E">
            <w:pPr>
              <w:pStyle w:val="tblFeedbackquestion"/>
            </w:pPr>
            <w:r>
              <w:t>F1Q1</w:t>
            </w:r>
            <w:r>
              <w:tab/>
              <w:t>Do you agree with this proposal? In your response, please give detailed reasons for your answer.</w:t>
            </w:r>
          </w:p>
          <w:p w14:paraId="2E494485" w14:textId="6137FF04" w:rsidR="00F96B9E" w:rsidRDefault="00F96B9E" w:rsidP="00F96B9E">
            <w:pPr>
              <w:pStyle w:val="tblFeedbackquestion"/>
            </w:pPr>
            <w:r>
              <w:t>F1Q2</w:t>
            </w:r>
            <w:r>
              <w:tab/>
              <w:t xml:space="preserve">Do you consider that you will have particular interpretation or implementation issues with the proposed LEI requirements? In your response, please give detailed reasons for your answer. </w:t>
            </w:r>
          </w:p>
        </w:tc>
      </w:tr>
      <w:tr w:rsidR="00F96B9E" w14:paraId="146F333D" w14:textId="77777777" w:rsidTr="00314C7E">
        <w:trPr>
          <w:cantSplit/>
        </w:trPr>
        <w:tc>
          <w:tcPr>
            <w:tcW w:w="4536" w:type="dxa"/>
            <w:shd w:val="clear" w:color="auto" w:fill="auto"/>
          </w:tcPr>
          <w:p w14:paraId="6C3FCF8E" w14:textId="5EA56D3D" w:rsidR="00F96B9E" w:rsidRDefault="00F96B9E" w:rsidP="00F96B9E">
            <w:pPr>
              <w:pStyle w:val="tblProposaltext"/>
            </w:pPr>
            <w:r>
              <w:t>F2</w:t>
            </w:r>
            <w:r>
              <w:tab/>
              <w:t xml:space="preserve">We propose to repeal section 6 ‘Exemption 2 (Entity Information)’ and section 6B ‘Exemption 2B (Joint Counterparties)’ of ASIC Corporations (Derivative Transaction Reporting Exemption) Instrument 2015/844 in relation to reporting entities other than reporting entities that are foreign subsidiaries of Australian reporting entities. </w:t>
            </w:r>
          </w:p>
        </w:tc>
        <w:tc>
          <w:tcPr>
            <w:tcW w:w="4536" w:type="dxa"/>
            <w:shd w:val="clear" w:color="auto" w:fill="auto"/>
          </w:tcPr>
          <w:p w14:paraId="73F38E46" w14:textId="77777777" w:rsidR="00F96B9E" w:rsidRDefault="00F96B9E" w:rsidP="00F96B9E">
            <w:pPr>
              <w:pStyle w:val="tblFeedbackquestion"/>
            </w:pPr>
            <w:r>
              <w:t>F2Q1</w:t>
            </w:r>
            <w:r>
              <w:tab/>
              <w:t>Do you agree with this proposal? In your response, please give detailed reasons for your answer.</w:t>
            </w:r>
          </w:p>
          <w:p w14:paraId="670A626F" w14:textId="683AA6A3" w:rsidR="00F96B9E" w:rsidRDefault="00F96B9E" w:rsidP="00F96B9E">
            <w:pPr>
              <w:pStyle w:val="tblFeedbackquestion"/>
            </w:pPr>
            <w:r>
              <w:t>F2Q2</w:t>
            </w:r>
            <w:r>
              <w:tab/>
              <w:t xml:space="preserve">Do you consider that you will have particular interpretation or implementation issues with the proposed LEI requirements? In your response, please give detailed reasons for your answer. </w:t>
            </w:r>
          </w:p>
        </w:tc>
      </w:tr>
      <w:tr w:rsidR="00F96B9E" w14:paraId="25D6414E" w14:textId="77777777" w:rsidTr="00314C7E">
        <w:trPr>
          <w:cantSplit/>
        </w:trPr>
        <w:tc>
          <w:tcPr>
            <w:tcW w:w="4536" w:type="dxa"/>
            <w:shd w:val="clear" w:color="auto" w:fill="auto"/>
          </w:tcPr>
          <w:p w14:paraId="7F97401A" w14:textId="77777777" w:rsidR="00F96B9E" w:rsidRDefault="00F96B9E" w:rsidP="00F96B9E">
            <w:pPr>
              <w:pStyle w:val="tblProposaltext"/>
            </w:pPr>
            <w:r>
              <w:lastRenderedPageBreak/>
              <w:t>G1</w:t>
            </w:r>
            <w:r>
              <w:tab/>
              <w:t>We propose to amend the ASIC Rules to:</w:t>
            </w:r>
          </w:p>
          <w:p w14:paraId="5174FE74" w14:textId="77777777" w:rsidR="00F96B9E" w:rsidRDefault="00F96B9E" w:rsidP="00F96B9E">
            <w:pPr>
              <w:pStyle w:val="tblProposaltext"/>
            </w:pPr>
            <w:r>
              <w:t>(a)</w:t>
            </w:r>
            <w:r>
              <w:tab/>
              <w:t>exclude from meaning of a reportable transaction a transaction for spot settlement, with specific rules text to be proposed in the second round of consultation;</w:t>
            </w:r>
          </w:p>
          <w:p w14:paraId="25CFC486" w14:textId="4EA8D6B3" w:rsidR="00F96B9E" w:rsidRDefault="00F96B9E" w:rsidP="00F96B9E">
            <w:pPr>
              <w:pStyle w:val="tblProposaltext"/>
            </w:pPr>
            <w:r>
              <w:t>(b)</w:t>
            </w:r>
            <w:r>
              <w:tab/>
              <w:t xml:space="preserve">exclude from the meaning of an OTC derivative those derivatives that fall within a generic definition of an exchange-traded derivative, with specific rules text to be proposed in the second round of consultation. </w:t>
            </w:r>
          </w:p>
        </w:tc>
        <w:tc>
          <w:tcPr>
            <w:tcW w:w="4536" w:type="dxa"/>
            <w:shd w:val="clear" w:color="auto" w:fill="auto"/>
          </w:tcPr>
          <w:p w14:paraId="0EF23942" w14:textId="77777777" w:rsidR="00F96B9E" w:rsidRDefault="00F96B9E" w:rsidP="00F96B9E">
            <w:pPr>
              <w:pStyle w:val="tblFeedbackquestion"/>
            </w:pPr>
            <w:r>
              <w:t>G1Q1</w:t>
            </w:r>
            <w:r>
              <w:tab/>
              <w:t>Do you agree with this proposal? In your response, please give detailed reasons for your answer.</w:t>
            </w:r>
          </w:p>
          <w:p w14:paraId="3F90323A" w14:textId="77777777" w:rsidR="00F96B9E" w:rsidRDefault="00F96B9E" w:rsidP="00F96B9E">
            <w:pPr>
              <w:pStyle w:val="tblFeedbackquestion"/>
            </w:pPr>
            <w:r>
              <w:t>G1Q2</w:t>
            </w:r>
            <w:r>
              <w:tab/>
              <w:t>Do you consider that the Singapore and Hong Kong definitions for a spot contract are an appropriate basis for an equivalent definition in the ASIC Rules? Are there other definitions that you consider we should also take into account? In your response, please give detailed reasons for your answer.</w:t>
            </w:r>
          </w:p>
          <w:p w14:paraId="1BA5A29E" w14:textId="77777777" w:rsidR="00F96B9E" w:rsidRDefault="00F96B9E" w:rsidP="00F96B9E">
            <w:pPr>
              <w:pStyle w:val="tblFeedbackquestion"/>
            </w:pPr>
            <w:r>
              <w:t>G1Q3</w:t>
            </w:r>
            <w:r>
              <w:tab/>
              <w:t>Do you consider that the existing generic definition in the exemption is an appropriate basis for an equivalent definition in the ASIC Rules? Are there other definitions that you consider we should also take into account? In your response, please give detailed reasons for your answer.</w:t>
            </w:r>
          </w:p>
          <w:p w14:paraId="2EB30BBE" w14:textId="7C20E673" w:rsidR="00F96B9E" w:rsidRDefault="00F96B9E" w:rsidP="00F96B9E">
            <w:pPr>
              <w:pStyle w:val="tblFeedbackquestion"/>
            </w:pPr>
            <w:r>
              <w:t>G1Q4</w:t>
            </w:r>
            <w:r>
              <w:tab/>
              <w:t xml:space="preserve">Do you consider that the design of this exclusion should include ‘avoidance of doubt’ references to certain classes of financial markets, a requirement to notify ASIC of financial markets that a reporting entity considers trades exchange-trade derivatives and/or a form of ‘disallowance’ determination that empowers ASIC to determine that certain derivatives are not exchange-traded derivatives? In your response, please give detailed reasons for your answer. </w:t>
            </w:r>
          </w:p>
        </w:tc>
      </w:tr>
      <w:tr w:rsidR="00F96B9E" w14:paraId="036B3242" w14:textId="77777777" w:rsidTr="00314C7E">
        <w:trPr>
          <w:cantSplit/>
        </w:trPr>
        <w:tc>
          <w:tcPr>
            <w:tcW w:w="4536" w:type="dxa"/>
            <w:shd w:val="clear" w:color="auto" w:fill="auto"/>
          </w:tcPr>
          <w:p w14:paraId="29461D0A" w14:textId="77777777" w:rsidR="00F96B9E" w:rsidRDefault="00F96B9E" w:rsidP="00F96B9E">
            <w:pPr>
              <w:pStyle w:val="tblProposaltext"/>
            </w:pPr>
            <w:r>
              <w:t>G2</w:t>
            </w:r>
            <w:r>
              <w:tab/>
              <w:t>We propose to amend the ASIC Rules to:</w:t>
            </w:r>
          </w:p>
          <w:p w14:paraId="38A80202" w14:textId="77777777" w:rsidR="00F96B9E" w:rsidRDefault="00F96B9E" w:rsidP="00F96B9E">
            <w:pPr>
              <w:pStyle w:val="tblProposalsubpara"/>
            </w:pPr>
            <w:r>
              <w:t>(a)</w:t>
            </w:r>
            <w:r>
              <w:tab/>
              <w:t>ensure that transactions with Australian retail clients are reportable transactions with specific rules text to be proposed in the second round of consultation; and</w:t>
            </w:r>
          </w:p>
          <w:p w14:paraId="161C75E0" w14:textId="6FB13A7B" w:rsidR="00F96B9E" w:rsidRDefault="00F96B9E" w:rsidP="00F96B9E">
            <w:pPr>
              <w:pStyle w:val="tblProposalsubpara"/>
            </w:pPr>
            <w:r>
              <w:t>(b)</w:t>
            </w:r>
            <w:r>
              <w:tab/>
              <w:t xml:space="preserve">to clarify the scope of reporting for foreign subsidiaries of Australian entities with specific rules text to be proposed in the second round of consultation. </w:t>
            </w:r>
          </w:p>
        </w:tc>
        <w:tc>
          <w:tcPr>
            <w:tcW w:w="4536" w:type="dxa"/>
            <w:shd w:val="clear" w:color="auto" w:fill="auto"/>
          </w:tcPr>
          <w:p w14:paraId="5CE2C9F9" w14:textId="6FE244DC" w:rsidR="00F96B9E" w:rsidRDefault="00F96B9E" w:rsidP="00F96B9E">
            <w:pPr>
              <w:pStyle w:val="tblFeedbackquestion"/>
            </w:pPr>
            <w:r>
              <w:t>G2Q1</w:t>
            </w:r>
            <w:r>
              <w:tab/>
              <w:t xml:space="preserve">Do you agree with this proposal? In your response, please give detailed reasons for your answer. </w:t>
            </w:r>
          </w:p>
        </w:tc>
      </w:tr>
      <w:tr w:rsidR="00F96B9E" w14:paraId="247A7B59" w14:textId="77777777" w:rsidTr="00314C7E">
        <w:trPr>
          <w:cantSplit/>
        </w:trPr>
        <w:tc>
          <w:tcPr>
            <w:tcW w:w="4536" w:type="dxa"/>
            <w:shd w:val="clear" w:color="auto" w:fill="auto"/>
          </w:tcPr>
          <w:p w14:paraId="642C30E8" w14:textId="22F125B0" w:rsidR="00F96B9E" w:rsidRDefault="00F96B9E" w:rsidP="00F96B9E">
            <w:pPr>
              <w:pStyle w:val="tblProposaltext"/>
            </w:pPr>
            <w:r>
              <w:t>H1</w:t>
            </w:r>
            <w:r>
              <w:tab/>
              <w:t xml:space="preserve">In this first consultation we seek to gather information about the scope and practices of reporting entities undertaking alternative reporting in order to better inform any future proposals we may make in relation to alternative reporting in the second round of consultation. </w:t>
            </w:r>
          </w:p>
        </w:tc>
        <w:tc>
          <w:tcPr>
            <w:tcW w:w="4536" w:type="dxa"/>
            <w:shd w:val="clear" w:color="auto" w:fill="auto"/>
          </w:tcPr>
          <w:p w14:paraId="25C1C491" w14:textId="77777777" w:rsidR="00F96B9E" w:rsidRDefault="00F96B9E" w:rsidP="00F96B9E">
            <w:pPr>
              <w:pStyle w:val="tblFeedbackquestion"/>
            </w:pPr>
            <w:r>
              <w:t>H1Q1</w:t>
            </w:r>
            <w:r>
              <w:tab/>
              <w:t>We request that reporting entities that are current users of alternative reporting identify themselves to us and engage in discussion with us about their alternative reporting practices. In particular:</w:t>
            </w:r>
          </w:p>
          <w:p w14:paraId="0690AC5D" w14:textId="77777777" w:rsidR="00F96B9E" w:rsidRDefault="00F96B9E" w:rsidP="00F96B9E">
            <w:pPr>
              <w:pStyle w:val="tblFeedbacksubquestion"/>
            </w:pPr>
            <w:r>
              <w:t>(a)</w:t>
            </w:r>
            <w:r>
              <w:tab/>
              <w:t>to which ASIC prescribed repository do you report?</w:t>
            </w:r>
          </w:p>
          <w:p w14:paraId="0E5D1850" w14:textId="2A401A77" w:rsidR="00F96B9E" w:rsidRDefault="00F96B9E" w:rsidP="00F96B9E">
            <w:pPr>
              <w:pStyle w:val="tblFeedbacksubquestion"/>
            </w:pPr>
            <w:r>
              <w:t>(b)</w:t>
            </w:r>
            <w:r>
              <w:tab/>
              <w:t xml:space="preserve">how do you ‘designate’ the reporting as information that has been reported under the ASIC Rules? </w:t>
            </w:r>
          </w:p>
        </w:tc>
      </w:tr>
      <w:tr w:rsidR="00F96B9E" w14:paraId="527C9597" w14:textId="77777777" w:rsidTr="00314C7E">
        <w:trPr>
          <w:cantSplit/>
        </w:trPr>
        <w:tc>
          <w:tcPr>
            <w:tcW w:w="4536" w:type="dxa"/>
            <w:shd w:val="clear" w:color="auto" w:fill="auto"/>
          </w:tcPr>
          <w:p w14:paraId="2E5FFA35" w14:textId="02C88E20" w:rsidR="00F96B9E" w:rsidRDefault="00F96B9E" w:rsidP="00F96B9E">
            <w:pPr>
              <w:pStyle w:val="tblProposaltext"/>
            </w:pPr>
            <w:r>
              <w:lastRenderedPageBreak/>
              <w:t>H2</w:t>
            </w:r>
            <w:r>
              <w:tab/>
              <w:t xml:space="preserve">In principle, we consider the most effective approach to addressing our concerns in relation to delegated reporting is to amend the ASIC Rules to remove the ‘safe harbour’ provisions and revert to reporting entities having responsibilities for reporting as otherwise set out in the ASIC Rules. </w:t>
            </w:r>
          </w:p>
        </w:tc>
        <w:tc>
          <w:tcPr>
            <w:tcW w:w="4536" w:type="dxa"/>
            <w:shd w:val="clear" w:color="auto" w:fill="auto"/>
          </w:tcPr>
          <w:p w14:paraId="45F48DF4" w14:textId="77777777" w:rsidR="00F96B9E" w:rsidRDefault="00F96B9E" w:rsidP="00F96B9E">
            <w:pPr>
              <w:pStyle w:val="tblFeedbackquestion"/>
            </w:pPr>
            <w:r>
              <w:t>H2Q1</w:t>
            </w:r>
            <w:r>
              <w:tab/>
              <w:t>In this first consultation we seek to gather information about the practices of reporting entities in overseeing their delegates in order to better inform any future proposals we may make in relation to delegated reporting in the second round of consultation. In particular:</w:t>
            </w:r>
          </w:p>
          <w:p w14:paraId="330E9BD2" w14:textId="01665930" w:rsidR="00F96B9E" w:rsidRDefault="00F96B9E" w:rsidP="00F96B9E">
            <w:pPr>
              <w:pStyle w:val="tblFeedbacksubquestion"/>
            </w:pPr>
            <w:r>
              <w:t>(a)</w:t>
            </w:r>
            <w:r>
              <w:tab/>
              <w:t xml:space="preserve">What are the specific processes and practices that you rely on to determine if the delegate is complying with the terms of the delegation agreement and to ensure that complete, accurate and current reporting is being carried out on your behalf? </w:t>
            </w:r>
          </w:p>
        </w:tc>
      </w:tr>
      <w:tr w:rsidR="00F96B9E" w14:paraId="0752027C" w14:textId="77777777" w:rsidTr="00314C7E">
        <w:trPr>
          <w:cantSplit/>
        </w:trPr>
        <w:tc>
          <w:tcPr>
            <w:tcW w:w="4536" w:type="dxa"/>
            <w:shd w:val="clear" w:color="auto" w:fill="auto"/>
          </w:tcPr>
          <w:p w14:paraId="3220372D" w14:textId="054781A6" w:rsidR="00F96B9E" w:rsidRDefault="00F96B9E" w:rsidP="00F96B9E">
            <w:pPr>
              <w:pStyle w:val="tblProposaltext"/>
            </w:pPr>
            <w:r>
              <w:t>I1</w:t>
            </w:r>
            <w:r>
              <w:tab/>
              <w:t xml:space="preserve">We propose to clarify in the ASIC Rules that the deadline for reporting for the purposes of the UTI rules within the ASIC Rules is a singular time referring to Sydney time. </w:t>
            </w:r>
          </w:p>
        </w:tc>
        <w:tc>
          <w:tcPr>
            <w:tcW w:w="4536" w:type="dxa"/>
            <w:shd w:val="clear" w:color="auto" w:fill="auto"/>
          </w:tcPr>
          <w:p w14:paraId="67001AEF" w14:textId="77777777" w:rsidR="00F96B9E" w:rsidRDefault="00F96B9E" w:rsidP="00F96B9E">
            <w:pPr>
              <w:pStyle w:val="tblFeedbackquestion"/>
            </w:pPr>
            <w:r>
              <w:t>I1Q1</w:t>
            </w:r>
            <w:r>
              <w:tab/>
              <w:t>Do you agree with our proposal to clarify the deadline for reporting for the purposes of the UTI rules within the ASIC Rules? In your response, please give detailed reasons for your answer.</w:t>
            </w:r>
          </w:p>
          <w:p w14:paraId="11E2A30E" w14:textId="77777777" w:rsidR="00F96B9E" w:rsidRDefault="00F96B9E" w:rsidP="00F96B9E">
            <w:pPr>
              <w:pStyle w:val="tblFeedbackquestion"/>
            </w:pPr>
            <w:r>
              <w:t>I1Q2</w:t>
            </w:r>
            <w:r>
              <w:tab/>
              <w:t>Do you consider there should be a single deadline for reporting that is applicable to both the UTI rules and the actual reporting obligation? In your response, please give detailed reasons for your answers.</w:t>
            </w:r>
          </w:p>
          <w:p w14:paraId="18F1979C" w14:textId="5F7ED3F2" w:rsidR="00F96B9E" w:rsidRDefault="00F96B9E" w:rsidP="00F96B9E">
            <w:pPr>
              <w:pStyle w:val="tblFeedbackquestion"/>
            </w:pPr>
            <w:r>
              <w:t>I1Q3</w:t>
            </w:r>
            <w:r>
              <w:tab/>
              <w:t xml:space="preserve">Do you consider that such a singular time should be expressed as a precise time such as 11.59 pm or as the end of the day? In your response, please give detailed reasons for your answers. </w:t>
            </w:r>
          </w:p>
        </w:tc>
      </w:tr>
      <w:tr w:rsidR="00F96B9E" w14:paraId="0633C776" w14:textId="77777777" w:rsidTr="00314C7E">
        <w:trPr>
          <w:cantSplit/>
        </w:trPr>
        <w:tc>
          <w:tcPr>
            <w:tcW w:w="4536" w:type="dxa"/>
            <w:shd w:val="clear" w:color="auto" w:fill="auto"/>
          </w:tcPr>
          <w:p w14:paraId="336BF367" w14:textId="61F2A532" w:rsidR="00F96B9E" w:rsidRDefault="00F96B9E" w:rsidP="00F96B9E">
            <w:pPr>
              <w:pStyle w:val="tblProposaltext"/>
            </w:pPr>
            <w:r>
              <w:t>I2</w:t>
            </w:r>
            <w:r>
              <w:tab/>
              <w:t xml:space="preserve">We are considering a proposal in the second round of consultation to amend the ASIC Rules to require lifecycle reporting for all reportable transactions. </w:t>
            </w:r>
          </w:p>
        </w:tc>
        <w:tc>
          <w:tcPr>
            <w:tcW w:w="4536" w:type="dxa"/>
            <w:shd w:val="clear" w:color="auto" w:fill="auto"/>
          </w:tcPr>
          <w:p w14:paraId="411B3C87" w14:textId="77777777" w:rsidR="00F96B9E" w:rsidRDefault="00F96B9E" w:rsidP="00F96B9E">
            <w:pPr>
              <w:pStyle w:val="tblFeedbackquestion"/>
            </w:pPr>
            <w:r>
              <w:t>I2Q1</w:t>
            </w:r>
            <w:r>
              <w:tab/>
              <w:t xml:space="preserve">Do you agree that we should propose such </w:t>
            </w:r>
            <w:proofErr w:type="gramStart"/>
            <w:r>
              <w:t>requirements?</w:t>
            </w:r>
            <w:proofErr w:type="gramEnd"/>
            <w:r>
              <w:t xml:space="preserve"> In your response, please give detailed reasons for your answer.</w:t>
            </w:r>
          </w:p>
          <w:p w14:paraId="4F658F35" w14:textId="56911D2C" w:rsidR="00F96B9E" w:rsidRDefault="00F96B9E" w:rsidP="00F96B9E">
            <w:pPr>
              <w:pStyle w:val="tblFeedbackquestion"/>
            </w:pPr>
            <w:r>
              <w:t>I2Q2</w:t>
            </w:r>
            <w:r>
              <w:tab/>
              <w:t xml:space="preserve">Do you consider that you will have particular interpretation or implementation issues with ‘lifecycle reporting’ for all reportable transactions? In your response, please give detailed reasons for your answer. </w:t>
            </w:r>
          </w:p>
        </w:tc>
      </w:tr>
      <w:tr w:rsidR="00F96B9E" w14:paraId="1019F506" w14:textId="77777777" w:rsidTr="00314C7E">
        <w:trPr>
          <w:cantSplit/>
        </w:trPr>
        <w:tc>
          <w:tcPr>
            <w:tcW w:w="4536" w:type="dxa"/>
            <w:shd w:val="clear" w:color="auto" w:fill="auto"/>
          </w:tcPr>
          <w:p w14:paraId="2F9F8073" w14:textId="088DA09D" w:rsidR="00F96B9E" w:rsidRDefault="00F96B9E" w:rsidP="00F96B9E">
            <w:pPr>
              <w:pStyle w:val="tblProposaltext"/>
            </w:pPr>
            <w:r>
              <w:t>I3</w:t>
            </w:r>
            <w:r>
              <w:tab/>
              <w:t>We propose to repeal or amend the relevant outdated provisions of the ASIC Rules</w:t>
            </w:r>
          </w:p>
        </w:tc>
        <w:tc>
          <w:tcPr>
            <w:tcW w:w="4536" w:type="dxa"/>
            <w:shd w:val="clear" w:color="auto" w:fill="auto"/>
          </w:tcPr>
          <w:p w14:paraId="150F897B" w14:textId="59C90672" w:rsidR="00F96B9E" w:rsidRDefault="00F96B9E" w:rsidP="00F96B9E">
            <w:pPr>
              <w:pStyle w:val="tblFeedbackquestion"/>
            </w:pPr>
            <w:r>
              <w:t>I3Q1</w:t>
            </w:r>
            <w:r>
              <w:tab/>
              <w:t xml:space="preserve">Do you agree with this proposal? In your response, please give detailed reasons for your answer. </w:t>
            </w:r>
          </w:p>
        </w:tc>
      </w:tr>
    </w:tbl>
    <w:p w14:paraId="4130DE97" w14:textId="77777777" w:rsidR="004D2B37" w:rsidRDefault="004D2B37">
      <w:pPr>
        <w:pStyle w:val="Bodytextplain"/>
      </w:pPr>
    </w:p>
    <w:sectPr w:rsidR="004D2B37" w:rsidSect="004D2B37">
      <w:headerReference w:type="even" r:id="rId12"/>
      <w:headerReference w:type="default" r:id="rId13"/>
      <w:footerReference w:type="even" r:id="rId14"/>
      <w:footerReference w:type="default" r:id="rId15"/>
      <w:headerReference w:type="first" r:id="rId16"/>
      <w:pgSz w:w="11906" w:h="16838" w:code="9"/>
      <w:pgMar w:top="1644" w:right="1418" w:bottom="1418"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1FEB" w14:textId="77777777" w:rsidR="00020D19" w:rsidRDefault="00020D19">
      <w:r>
        <w:separator/>
      </w:r>
    </w:p>
  </w:endnote>
  <w:endnote w:type="continuationSeparator" w:id="0">
    <w:p w14:paraId="27A71A5A" w14:textId="77777777" w:rsidR="00020D19" w:rsidRDefault="00020D19">
      <w:r>
        <w:continuationSeparator/>
      </w:r>
    </w:p>
  </w:endnote>
  <w:endnote w:type="continuationNotice" w:id="1">
    <w:p w14:paraId="41F04C0C" w14:textId="77777777" w:rsidR="00020D19" w:rsidRDefault="00020D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EFB4" w14:textId="77777777" w:rsidR="00020D19" w:rsidRDefault="00020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8339717" w14:textId="77777777" w:rsidR="00020D19" w:rsidRDefault="00020D19">
    <w:pPr>
      <w:pStyle w:val="Footer"/>
      <w:ind w:right="360"/>
    </w:pPr>
  </w:p>
  <w:p w14:paraId="6E38513A" w14:textId="77777777" w:rsidR="00020D19" w:rsidRDefault="00020D19"/>
  <w:p w14:paraId="0191124A" w14:textId="77777777" w:rsidR="00020D19" w:rsidRDefault="00020D19"/>
  <w:p w14:paraId="357749DF" w14:textId="77777777" w:rsidR="00020D19" w:rsidRDefault="00020D19"/>
  <w:p w14:paraId="3C59B133" w14:textId="77777777" w:rsidR="00020D19" w:rsidRDefault="00020D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B13A" w14:textId="692A8EF7" w:rsidR="00020D19" w:rsidRPr="007E5BC8" w:rsidRDefault="00020D19" w:rsidP="007E5BC8">
    <w:pPr>
      <w:pStyle w:val="Footer"/>
      <w:pBdr>
        <w:top w:val="single" w:sz="4" w:space="1" w:color="117DC7"/>
      </w:pBdr>
      <w:rPr>
        <w:b/>
        <w:color w:val="117DC7"/>
      </w:rPr>
    </w:pPr>
    <w:r>
      <w:rPr>
        <w:color w:val="117DC7"/>
      </w:rPr>
      <w:t xml:space="preserve">© Australian Securities and Investments Commission </w:t>
    </w:r>
    <w:r w:rsidR="005A5F41">
      <w:fldChar w:fldCharType="begin"/>
    </w:r>
    <w:r w:rsidR="005A5F41">
      <w:instrText xml:space="preserve"> DOCPROPERTY  "Issue date"  \* MERGEFORMAT </w:instrText>
    </w:r>
    <w:r w:rsidR="005A5F41">
      <w:fldChar w:fldCharType="separate"/>
    </w:r>
    <w:r w:rsidR="00314C7E" w:rsidRPr="00314C7E">
      <w:rPr>
        <w:color w:val="117DC7"/>
      </w:rPr>
      <w:t>November 2020</w:t>
    </w:r>
    <w:r w:rsidR="005A5F41">
      <w:rPr>
        <w:color w:val="117DC7"/>
      </w:rPr>
      <w:fldChar w:fldCharType="end"/>
    </w:r>
    <w:r>
      <w:rPr>
        <w:color w:val="117DC7"/>
      </w:rPr>
      <w:tab/>
    </w:r>
    <w:r w:rsidRPr="001C0367">
      <w:rPr>
        <w:color w:val="117DC7"/>
      </w:rPr>
      <w:t xml:space="preserve">Page </w:t>
    </w:r>
    <w:r w:rsidRPr="001C0367">
      <w:rPr>
        <w:b/>
        <w:color w:val="117DC7"/>
      </w:rPr>
      <w:fldChar w:fldCharType="begin"/>
    </w:r>
    <w:r w:rsidRPr="001C0367">
      <w:rPr>
        <w:b/>
        <w:color w:val="117DC7"/>
      </w:rPr>
      <w:instrText xml:space="preserve"> PAGE </w:instrText>
    </w:r>
    <w:r w:rsidRPr="001C0367">
      <w:rPr>
        <w:b/>
        <w:color w:val="117DC7"/>
      </w:rPr>
      <w:fldChar w:fldCharType="separate"/>
    </w:r>
    <w:r>
      <w:rPr>
        <w:b/>
        <w:color w:val="117DC7"/>
      </w:rPr>
      <w:t>2</w:t>
    </w:r>
    <w:r w:rsidRPr="001C0367">
      <w:rPr>
        <w:color w:val="117DC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D574" w14:textId="77777777" w:rsidR="00020D19" w:rsidRDefault="00020D19">
      <w:r>
        <w:separator/>
      </w:r>
    </w:p>
  </w:footnote>
  <w:footnote w:type="continuationSeparator" w:id="0">
    <w:p w14:paraId="6C035E1A" w14:textId="77777777" w:rsidR="00020D19" w:rsidRDefault="00020D19">
      <w:r>
        <w:continuationSeparator/>
      </w:r>
    </w:p>
  </w:footnote>
  <w:footnote w:type="continuationNotice" w:id="1">
    <w:p w14:paraId="5E717B23" w14:textId="77777777" w:rsidR="00020D19" w:rsidRDefault="00020D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1D9A" w14:textId="77777777" w:rsidR="00020D19" w:rsidRDefault="00020D19"/>
  <w:p w14:paraId="503D85FE" w14:textId="77777777" w:rsidR="00020D19" w:rsidRDefault="00020D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2D7F" w14:textId="7913B1AD" w:rsidR="00020D19" w:rsidRPr="00362FC1" w:rsidRDefault="00020D19" w:rsidP="00BD3B53">
    <w:pPr>
      <w:pStyle w:val="Footer"/>
      <w:pBdr>
        <w:bottom w:val="single" w:sz="4" w:space="1" w:color="0072CE"/>
      </w:pBdr>
      <w:jc w:val="right"/>
      <w:rPr>
        <w:color w:val="0072CE"/>
        <w:spacing w:val="-4"/>
      </w:rPr>
    </w:pPr>
    <w:r w:rsidRPr="00BD3B53">
      <w:rPr>
        <w:color w:val="0072CE"/>
      </w:rPr>
      <w:tab/>
    </w:r>
    <w:r w:rsidRPr="00362FC1">
      <w:rPr>
        <w:color w:val="0072CE"/>
        <w:spacing w:val="-4"/>
      </w:rPr>
      <w:fldChar w:fldCharType="begin"/>
    </w:r>
    <w:r w:rsidRPr="00362FC1">
      <w:rPr>
        <w:color w:val="0072CE"/>
        <w:spacing w:val="-4"/>
      </w:rPr>
      <w:instrText xml:space="preserve"> DOCPROPERTY  "Document type"  \* MERGEFORMAT </w:instrText>
    </w:r>
    <w:r w:rsidRPr="00362FC1">
      <w:rPr>
        <w:color w:val="0072CE"/>
        <w:spacing w:val="-4"/>
      </w:rPr>
      <w:fldChar w:fldCharType="separate"/>
    </w:r>
    <w:r w:rsidR="00314C7E" w:rsidRPr="00314C7E">
      <w:rPr>
        <w:caps/>
        <w:color w:val="0072CE"/>
        <w:spacing w:val="-4"/>
      </w:rPr>
      <w:t>CONSULTATION PAPER</w:t>
    </w:r>
    <w:r w:rsidRPr="00362FC1">
      <w:rPr>
        <w:caps/>
        <w:color w:val="0072CE"/>
        <w:spacing w:val="-4"/>
      </w:rPr>
      <w:fldChar w:fldCharType="end"/>
    </w:r>
    <w:r w:rsidRPr="00362FC1">
      <w:rPr>
        <w:color w:val="0072CE"/>
        <w:spacing w:val="-4"/>
      </w:rPr>
      <w:t xml:space="preserve"> </w:t>
    </w:r>
    <w:r w:rsidRPr="00362FC1">
      <w:rPr>
        <w:color w:val="0072CE"/>
        <w:spacing w:val="-4"/>
      </w:rPr>
      <w:fldChar w:fldCharType="begin"/>
    </w:r>
    <w:r w:rsidRPr="00362FC1">
      <w:rPr>
        <w:color w:val="0072CE"/>
        <w:spacing w:val="-4"/>
      </w:rPr>
      <w:instrText xml:space="preserve"> DOCPROPERTY  "Document num"  \* MERGEFORMAT </w:instrText>
    </w:r>
    <w:r w:rsidRPr="00362FC1">
      <w:rPr>
        <w:color w:val="0072CE"/>
        <w:spacing w:val="-4"/>
      </w:rPr>
      <w:fldChar w:fldCharType="separate"/>
    </w:r>
    <w:r w:rsidR="00314C7E">
      <w:rPr>
        <w:color w:val="0072CE"/>
        <w:spacing w:val="-4"/>
      </w:rPr>
      <w:t>334</w:t>
    </w:r>
    <w:r w:rsidRPr="00362FC1">
      <w:rPr>
        <w:color w:val="0072CE"/>
        <w:spacing w:val="-4"/>
      </w:rPr>
      <w:fldChar w:fldCharType="end"/>
    </w:r>
    <w:r w:rsidRPr="00362FC1">
      <w:rPr>
        <w:color w:val="0072CE"/>
        <w:spacing w:val="-4"/>
      </w:rPr>
      <w:t xml:space="preserve">: </w:t>
    </w:r>
    <w:r w:rsidRPr="00362FC1">
      <w:rPr>
        <w:color w:val="0072CE"/>
        <w:spacing w:val="-4"/>
      </w:rPr>
      <w:fldChar w:fldCharType="begin"/>
    </w:r>
    <w:r w:rsidRPr="00362FC1">
      <w:rPr>
        <w:color w:val="0072CE"/>
        <w:spacing w:val="-4"/>
      </w:rPr>
      <w:instrText xml:space="preserve"> DOCPROPERTY  "Document title"  \* charformat </w:instrText>
    </w:r>
    <w:r w:rsidRPr="00362FC1">
      <w:rPr>
        <w:color w:val="0072CE"/>
        <w:spacing w:val="-4"/>
      </w:rPr>
      <w:fldChar w:fldCharType="separate"/>
    </w:r>
    <w:r w:rsidR="00314C7E">
      <w:rPr>
        <w:color w:val="0072CE"/>
        <w:spacing w:val="-4"/>
      </w:rPr>
      <w:t>Proposed changes to simplify the ASIC Derivative Transaction Rules (Reporting): First consultation</w:t>
    </w:r>
    <w:r w:rsidRPr="00362FC1">
      <w:rPr>
        <w:color w:val="0072CE"/>
        <w:spacing w:val="-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F64D" w14:textId="77777777" w:rsidR="00020D19" w:rsidRDefault="00020D19">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874D0"/>
    <w:multiLevelType w:val="multilevel"/>
    <w:tmpl w:val="C0C8615E"/>
    <w:lvl w:ilvl="0">
      <w:start w:val="1"/>
      <w:numFmt w:val="decimal"/>
      <w:lvlText w:val="%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Letter"/>
      <w:lvlText w:val="(%3)"/>
      <w:lvlJc w:val="left"/>
      <w:pPr>
        <w:tabs>
          <w:tab w:val="num" w:pos="3120"/>
        </w:tabs>
        <w:ind w:left="3120" w:hanging="426"/>
      </w:pPr>
      <w:rPr>
        <w:rFonts w:hint="default"/>
        <w:b w:val="0"/>
        <w:bCs w:val="0"/>
        <w:i w:val="0"/>
        <w:iCs w:val="0"/>
        <w:caps w:val="0"/>
        <w:strike w:val="0"/>
        <w:dstrike w:val="0"/>
        <w:vanish w:val="0"/>
        <w:color w:val="auto"/>
        <w:spacing w:val="0"/>
        <w:kern w:val="0"/>
        <w:position w:val="0"/>
        <w:sz w:val="17"/>
        <w:szCs w:val="17"/>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15:restartNumberingAfterBreak="0">
    <w:nsid w:val="0DA769B0"/>
    <w:multiLevelType w:val="hybridMultilevel"/>
    <w:tmpl w:val="22429344"/>
    <w:lvl w:ilvl="0" w:tplc="E3364E6E">
      <w:start w:val="1"/>
      <w:numFmt w:val="bullet"/>
      <w:pStyle w:val="Responsebullet"/>
      <w:lvlText w:val=""/>
      <w:lvlJc w:val="left"/>
      <w:pPr>
        <w:ind w:left="3952" w:hanging="360"/>
      </w:pPr>
      <w:rPr>
        <w:rFonts w:ascii="Symbol" w:hAnsi="Symbol" w:hint="default"/>
      </w:rPr>
    </w:lvl>
    <w:lvl w:ilvl="1" w:tplc="0C090003" w:tentative="1">
      <w:start w:val="1"/>
      <w:numFmt w:val="bullet"/>
      <w:lvlText w:val="o"/>
      <w:lvlJc w:val="left"/>
      <w:pPr>
        <w:ind w:left="4672" w:hanging="360"/>
      </w:pPr>
      <w:rPr>
        <w:rFonts w:ascii="Courier New" w:hAnsi="Courier New" w:cs="Courier New" w:hint="default"/>
      </w:rPr>
    </w:lvl>
    <w:lvl w:ilvl="2" w:tplc="0C090005" w:tentative="1">
      <w:start w:val="1"/>
      <w:numFmt w:val="bullet"/>
      <w:lvlText w:val=""/>
      <w:lvlJc w:val="left"/>
      <w:pPr>
        <w:ind w:left="5392" w:hanging="360"/>
      </w:pPr>
      <w:rPr>
        <w:rFonts w:ascii="Wingdings" w:hAnsi="Wingdings" w:hint="default"/>
      </w:rPr>
    </w:lvl>
    <w:lvl w:ilvl="3" w:tplc="0C090001" w:tentative="1">
      <w:start w:val="1"/>
      <w:numFmt w:val="bullet"/>
      <w:lvlText w:val=""/>
      <w:lvlJc w:val="left"/>
      <w:pPr>
        <w:ind w:left="6112" w:hanging="360"/>
      </w:pPr>
      <w:rPr>
        <w:rFonts w:ascii="Symbol" w:hAnsi="Symbol" w:hint="default"/>
      </w:rPr>
    </w:lvl>
    <w:lvl w:ilvl="4" w:tplc="0C090003" w:tentative="1">
      <w:start w:val="1"/>
      <w:numFmt w:val="bullet"/>
      <w:lvlText w:val="o"/>
      <w:lvlJc w:val="left"/>
      <w:pPr>
        <w:ind w:left="6832" w:hanging="360"/>
      </w:pPr>
      <w:rPr>
        <w:rFonts w:ascii="Courier New" w:hAnsi="Courier New" w:cs="Courier New" w:hint="default"/>
      </w:rPr>
    </w:lvl>
    <w:lvl w:ilvl="5" w:tplc="0C090005" w:tentative="1">
      <w:start w:val="1"/>
      <w:numFmt w:val="bullet"/>
      <w:lvlText w:val=""/>
      <w:lvlJc w:val="left"/>
      <w:pPr>
        <w:ind w:left="7552" w:hanging="360"/>
      </w:pPr>
      <w:rPr>
        <w:rFonts w:ascii="Wingdings" w:hAnsi="Wingdings" w:hint="default"/>
      </w:rPr>
    </w:lvl>
    <w:lvl w:ilvl="6" w:tplc="0C090001" w:tentative="1">
      <w:start w:val="1"/>
      <w:numFmt w:val="bullet"/>
      <w:lvlText w:val=""/>
      <w:lvlJc w:val="left"/>
      <w:pPr>
        <w:ind w:left="8272" w:hanging="360"/>
      </w:pPr>
      <w:rPr>
        <w:rFonts w:ascii="Symbol" w:hAnsi="Symbol" w:hint="default"/>
      </w:rPr>
    </w:lvl>
    <w:lvl w:ilvl="7" w:tplc="0C090003" w:tentative="1">
      <w:start w:val="1"/>
      <w:numFmt w:val="bullet"/>
      <w:lvlText w:val="o"/>
      <w:lvlJc w:val="left"/>
      <w:pPr>
        <w:ind w:left="8992" w:hanging="360"/>
      </w:pPr>
      <w:rPr>
        <w:rFonts w:ascii="Courier New" w:hAnsi="Courier New" w:cs="Courier New" w:hint="default"/>
      </w:rPr>
    </w:lvl>
    <w:lvl w:ilvl="8" w:tplc="0C090005" w:tentative="1">
      <w:start w:val="1"/>
      <w:numFmt w:val="bullet"/>
      <w:lvlText w:val=""/>
      <w:lvlJc w:val="left"/>
      <w:pPr>
        <w:ind w:left="9712" w:hanging="360"/>
      </w:pPr>
      <w:rPr>
        <w:rFonts w:ascii="Wingdings" w:hAnsi="Wingdings" w:hint="default"/>
      </w:rPr>
    </w:lvl>
  </w:abstractNum>
  <w:abstractNum w:abstractNumId="4" w15:restartNumberingAfterBreak="0">
    <w:nsid w:val="0F944638"/>
    <w:multiLevelType w:val="multilevel"/>
    <w:tmpl w:val="764229A0"/>
    <w:lvl w:ilvl="0">
      <w:start w:val="575"/>
      <w:numFmt w:val="none"/>
      <w:pStyle w:val="MIRBodyText"/>
      <w:suff w:val="nothing"/>
      <w:lvlText w:val=""/>
      <w:lvlJc w:val="left"/>
      <w:pPr>
        <w:ind w:left="851" w:firstLine="0"/>
      </w:pPr>
      <w:rPr>
        <w:rFonts w:hint="default"/>
      </w:rPr>
    </w:lvl>
    <w:lvl w:ilvl="1">
      <w:start w:val="1"/>
      <w:numFmt w:val="lowerLetter"/>
      <w:pStyle w:val="MIRSubpara"/>
      <w:lvlText w:val="(%2)"/>
      <w:lvlJc w:val="left"/>
      <w:pPr>
        <w:tabs>
          <w:tab w:val="num" w:pos="1276"/>
        </w:tabs>
        <w:ind w:left="1276"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lowerRoman"/>
      <w:pStyle w:val="MIRSubsubpara"/>
      <w:lvlText w:val="(%3)"/>
      <w:lvlJc w:val="left"/>
      <w:pPr>
        <w:tabs>
          <w:tab w:val="num" w:pos="1701"/>
        </w:tabs>
        <w:ind w:left="1701" w:hanging="425"/>
      </w:pPr>
      <w:rPr>
        <w:rFonts w:hint="default"/>
        <w:sz w:val="18"/>
      </w:rPr>
    </w:lvl>
    <w:lvl w:ilvl="3">
      <w:start w:val="2"/>
      <w:numFmt w:val="upperLetter"/>
      <w:pStyle w:val="MIRsubsubsubpara"/>
      <w:lvlText w:val="(%4)"/>
      <w:lvlJc w:val="left"/>
      <w:pPr>
        <w:tabs>
          <w:tab w:val="num" w:pos="2126"/>
        </w:tabs>
        <w:ind w:left="2126" w:hanging="425"/>
      </w:pPr>
      <w:rPr>
        <w:rFonts w:hint="default"/>
        <w:sz w:val="16"/>
        <w:szCs w:val="16"/>
      </w:rPr>
    </w:lvl>
    <w:lvl w:ilvl="4">
      <w:start w:val="1"/>
      <w:numFmt w:val="lowerLetter"/>
      <w:lvlText w:val="(%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0C6808"/>
    <w:multiLevelType w:val="multilevel"/>
    <w:tmpl w:val="D110E7D2"/>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15:restartNumberingAfterBreak="0">
    <w:nsid w:val="243B1A7D"/>
    <w:multiLevelType w:val="multilevel"/>
    <w:tmpl w:val="D292D8DE"/>
    <w:lvl w:ilvl="0">
      <w:start w:val="1"/>
      <w:numFmt w:val="upperLetter"/>
      <w:pStyle w:val="Heading1"/>
      <w:lvlText w:val="%1"/>
      <w:lvlJc w:val="left"/>
      <w:pPr>
        <w:tabs>
          <w:tab w:val="num" w:pos="851"/>
        </w:tabs>
        <w:ind w:left="851" w:hanging="851"/>
      </w:pPr>
      <w:rPr>
        <w:rFonts w:hint="default"/>
        <w:b/>
        <w:i w:val="0"/>
        <w:color w:val="0072CE"/>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7" w15:restartNumberingAfterBreak="0">
    <w:nsid w:val="28B27E2C"/>
    <w:multiLevelType w:val="hybridMultilevel"/>
    <w:tmpl w:val="4648BDCE"/>
    <w:lvl w:ilvl="0" w:tplc="231412FA">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70327E"/>
    <w:multiLevelType w:val="hybridMultilevel"/>
    <w:tmpl w:val="33769FC8"/>
    <w:lvl w:ilvl="0" w:tplc="46DE2400">
      <w:start w:val="1"/>
      <w:numFmt w:val="lowerLetter"/>
      <w:lvlText w:val="(%1)"/>
      <w:lvlJc w:val="left"/>
      <w:pPr>
        <w:ind w:left="360" w:hanging="360"/>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D3558"/>
    <w:multiLevelType w:val="multilevel"/>
    <w:tmpl w:val="08E45434"/>
    <w:lvl w:ilvl="0">
      <w:start w:val="1"/>
      <w:numFmt w:val="none"/>
      <w:pStyle w:val="ParaHdg1"/>
      <w:lvlText w:val=""/>
      <w:lvlJc w:val="left"/>
      <w:pPr>
        <w:ind w:left="0" w:firstLine="0"/>
      </w:pPr>
      <w:rPr>
        <w:rFonts w:hint="default"/>
        <w:sz w:val="22"/>
        <w:szCs w:val="22"/>
      </w:rPr>
    </w:lvl>
    <w:lvl w:ilvl="1">
      <w:start w:val="1"/>
      <w:numFmt w:val="decimal"/>
      <w:lvlRestart w:val="0"/>
      <w:pStyle w:val="ParaLvl1"/>
      <w:lvlText w:val="%2."/>
      <w:lvlJc w:val="left"/>
      <w:pPr>
        <w:ind w:left="567" w:hanging="567"/>
      </w:pPr>
      <w:rPr>
        <w:rFonts w:hint="default"/>
      </w:rPr>
    </w:lvl>
    <w:lvl w:ilvl="2">
      <w:start w:val="1"/>
      <w:numFmt w:val="decimal"/>
      <w:pStyle w:val="ParaLvl2"/>
      <w:lvlText w:val="%2%1.%3"/>
      <w:lvlJc w:val="left"/>
      <w:pPr>
        <w:ind w:left="1134" w:hanging="567"/>
      </w:pPr>
      <w:rPr>
        <w:rFonts w:hint="default"/>
      </w:rPr>
    </w:lvl>
    <w:lvl w:ilvl="3">
      <w:start w:val="1"/>
      <w:numFmt w:val="decimal"/>
      <w:pStyle w:val="ParaHdg2"/>
      <w:lvlText w:val="%2.%3.%4%1"/>
      <w:lvlJc w:val="left"/>
      <w:pPr>
        <w:ind w:left="1134" w:hanging="567"/>
      </w:pPr>
      <w:rPr>
        <w:rFonts w:hint="default"/>
      </w:rPr>
    </w:lvl>
    <w:lvl w:ilvl="4">
      <w:start w:val="1"/>
      <w:numFmt w:val="decimal"/>
      <w:lvlText w:val="%1.%5"/>
      <w:lvlJc w:val="left"/>
      <w:pPr>
        <w:ind w:left="1134" w:hanging="567"/>
      </w:pPr>
      <w:rPr>
        <w:rFonts w:hint="default"/>
      </w:rPr>
    </w:lvl>
    <w:lvl w:ilvl="5">
      <w:start w:val="1"/>
      <w:numFmt w:val="decimal"/>
      <w:pStyle w:val="ParaLvl3"/>
      <w:lvlText w:val="%1.%4.%6"/>
      <w:lvlJc w:val="left"/>
      <w:pPr>
        <w:ind w:left="1814" w:hanging="680"/>
      </w:pPr>
      <w:rPr>
        <w:rFonts w:hint="default"/>
      </w:rPr>
    </w:lvl>
    <w:lvl w:ilvl="6">
      <w:start w:val="1"/>
      <w:numFmt w:val="lowerLetter"/>
      <w:pStyle w:val="ListPara3"/>
      <w:lvlText w:val="%7)"/>
      <w:lvlJc w:val="left"/>
      <w:pPr>
        <w:ind w:left="1985" w:hanging="171"/>
      </w:pPr>
      <w:rPr>
        <w:rFonts w:hint="default"/>
      </w:rPr>
    </w:lvl>
    <w:lvl w:ilvl="7">
      <w:start w:val="1"/>
      <w:numFmt w:val="lowerLetter"/>
      <w:lvlText w:val="%8."/>
      <w:lvlJc w:val="left"/>
      <w:pPr>
        <w:ind w:left="1985" w:hanging="284"/>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C041993"/>
    <w:multiLevelType w:val="multilevel"/>
    <w:tmpl w:val="4680F51A"/>
    <w:name w:val="ASIC para nos"/>
    <w:lvl w:ilvl="0">
      <w:start w:val="1"/>
      <w:numFmt w:val="decimal"/>
      <w:lvlText w:val="%1"/>
      <w:lvlJc w:val="left"/>
      <w:pPr>
        <w:tabs>
          <w:tab w:val="num" w:pos="2693"/>
        </w:tabs>
        <w:ind w:left="2693" w:hanging="425"/>
      </w:pPr>
      <w:rPr>
        <w:rFonts w:hint="default"/>
        <w:sz w:val="22"/>
      </w:rPr>
    </w:lvl>
    <w:lvl w:ilvl="1">
      <w:start w:val="1"/>
      <w:numFmt w:val="decimal"/>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2" w15:restartNumberingAfterBreak="0">
    <w:nsid w:val="462F3DF3"/>
    <w:multiLevelType w:val="multilevel"/>
    <w:tmpl w:val="90D6C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63D5567"/>
    <w:multiLevelType w:val="hybridMultilevel"/>
    <w:tmpl w:val="2AA67D84"/>
    <w:lvl w:ilvl="0" w:tplc="A0EAE094">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3316B"/>
    <w:multiLevelType w:val="multilevel"/>
    <w:tmpl w:val="2A7AF0FE"/>
    <w:lvl w:ilvl="0">
      <w:start w:val="1"/>
      <w:numFmt w:val="decimal"/>
      <w:pStyle w:val="ListPara1"/>
      <w:lvlText w:val="%1."/>
      <w:lvlJc w:val="left"/>
      <w:pPr>
        <w:ind w:left="720" w:hanging="360"/>
      </w:pPr>
      <w:rPr>
        <w:rFonts w:hint="default"/>
        <w:sz w:val="22"/>
        <w:szCs w:val="22"/>
      </w:rPr>
    </w:lvl>
    <w:lvl w:ilvl="1">
      <w:start w:val="1"/>
      <w:numFmt w:val="decimal"/>
      <w:pStyle w:val="ListPara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A7E154A"/>
    <w:multiLevelType w:val="hybridMultilevel"/>
    <w:tmpl w:val="C1FA1118"/>
    <w:lvl w:ilvl="0" w:tplc="A0EAE094">
      <w:start w:val="1"/>
      <w:numFmt w:val="lowerLetter"/>
      <w:lvlText w:val="(%1)"/>
      <w:lvlJc w:val="left"/>
      <w:pPr>
        <w:ind w:left="360" w:hanging="360"/>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C8B3F4F"/>
    <w:multiLevelType w:val="multilevel"/>
    <w:tmpl w:val="D8FE40B2"/>
    <w:lvl w:ilvl="0">
      <w:start w:val="1"/>
      <w:numFmt w:val="upperLetter"/>
      <w:lvlText w:val="%1"/>
      <w:lvlJc w:val="left"/>
      <w:pPr>
        <w:tabs>
          <w:tab w:val="num" w:pos="851"/>
        </w:tabs>
        <w:ind w:left="851" w:hanging="851"/>
      </w:pPr>
      <w:rPr>
        <w:rFonts w:hint="default"/>
        <w:b/>
        <w:i w:val="0"/>
        <w:color w:val="117DC7"/>
        <w:sz w:val="36"/>
        <w:szCs w:val="72"/>
      </w:rPr>
    </w:lvl>
    <w:lvl w:ilvl="1">
      <w:start w:val="1"/>
      <w:numFmt w:val="bullet"/>
      <w:lvlText w:val=""/>
      <w:lvlJc w:val="left"/>
      <w:pPr>
        <w:tabs>
          <w:tab w:val="num" w:pos="2693"/>
        </w:tabs>
        <w:ind w:left="2693" w:hanging="425"/>
      </w:pPr>
      <w:rPr>
        <w:rFonts w:ascii="Symbol" w:hAnsi="Symbol"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7"/>
        <w:szCs w:val="17"/>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15:restartNumberingAfterBreak="0">
    <w:nsid w:val="4E8D4077"/>
    <w:multiLevelType w:val="hybridMultilevel"/>
    <w:tmpl w:val="33769FC8"/>
    <w:lvl w:ilvl="0" w:tplc="46DE2400">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8247AA"/>
    <w:multiLevelType w:val="multilevel"/>
    <w:tmpl w:val="C0C8615E"/>
    <w:lvl w:ilvl="0">
      <w:start w:val="1"/>
      <w:numFmt w:val="decimal"/>
      <w:lvlText w:val="%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Letter"/>
      <w:lvlText w:val="(%3)"/>
      <w:lvlJc w:val="left"/>
      <w:pPr>
        <w:tabs>
          <w:tab w:val="num" w:pos="3120"/>
        </w:tabs>
        <w:ind w:left="3120" w:hanging="426"/>
      </w:pPr>
      <w:rPr>
        <w:rFonts w:hint="default"/>
        <w:b w:val="0"/>
        <w:bCs w:val="0"/>
        <w:i w:val="0"/>
        <w:iCs w:val="0"/>
        <w:caps w:val="0"/>
        <w:strike w:val="0"/>
        <w:dstrike w:val="0"/>
        <w:vanish w:val="0"/>
        <w:color w:val="auto"/>
        <w:spacing w:val="0"/>
        <w:kern w:val="0"/>
        <w:position w:val="0"/>
        <w:sz w:val="17"/>
        <w:szCs w:val="17"/>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1" w15:restartNumberingAfterBreak="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4" w15:restartNumberingAfterBreak="0">
    <w:nsid w:val="6EC13EC9"/>
    <w:multiLevelType w:val="hybridMultilevel"/>
    <w:tmpl w:val="2AA67D84"/>
    <w:lvl w:ilvl="0" w:tplc="A0EAE094">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BF2DF2"/>
    <w:multiLevelType w:val="multilevel"/>
    <w:tmpl w:val="4ABC9A5A"/>
    <w:lvl w:ilvl="0">
      <w:start w:val="1"/>
      <w:numFmt w:val="decimal"/>
      <w:pStyle w:val="ParaHeading1"/>
      <w:lvlText w:val="%1."/>
      <w:lvlJc w:val="left"/>
      <w:pPr>
        <w:ind w:left="425" w:hanging="425"/>
      </w:pPr>
      <w:rPr>
        <w:rFonts w:hint="default"/>
      </w:rPr>
    </w:lvl>
    <w:lvl w:ilvl="1">
      <w:start w:val="1"/>
      <w:numFmt w:val="decimal"/>
      <w:pStyle w:val="ParaHeading2"/>
      <w:lvlText w:val="%2.%1"/>
      <w:lvlJc w:val="left"/>
      <w:pPr>
        <w:ind w:left="1049" w:hanging="624"/>
      </w:pPr>
      <w:rPr>
        <w:rFonts w:hint="default"/>
      </w:rPr>
    </w:lvl>
    <w:lvl w:ilvl="2">
      <w:start w:val="1"/>
      <w:numFmt w:val="decimal"/>
      <w:pStyle w:val="ParaLevel2"/>
      <w:lvlText w:val="%1.%3"/>
      <w:lvlJc w:val="left"/>
      <w:pPr>
        <w:ind w:left="1049" w:hanging="624"/>
      </w:pPr>
      <w:rPr>
        <w:rFonts w:hint="default"/>
      </w:rPr>
    </w:lvl>
    <w:lvl w:ilvl="3">
      <w:start w:val="1"/>
      <w:numFmt w:val="decimal"/>
      <w:pStyle w:val="ParaHeading3"/>
      <w:lvlText w:val="%1.%2.%4"/>
      <w:lvlJc w:val="left"/>
      <w:pPr>
        <w:ind w:left="1418" w:hanging="369"/>
      </w:pPr>
      <w:rPr>
        <w:rFonts w:hint="default"/>
      </w:rPr>
    </w:lvl>
    <w:lvl w:ilvl="4">
      <w:start w:val="1"/>
      <w:numFmt w:val="decimal"/>
      <w:pStyle w:val="ParaLevel3"/>
      <w:lvlText w:val="%1.%2.%5"/>
      <w:lvlJc w:val="left"/>
      <w:pPr>
        <w:ind w:left="1418" w:hanging="369"/>
      </w:pPr>
      <w:rPr>
        <w:rFonts w:hint="default"/>
      </w:rPr>
    </w:lvl>
    <w:lvl w:ilvl="5">
      <w:start w:val="1"/>
      <w:numFmt w:val="decimal"/>
      <w:pStyle w:val="ParaHeading4"/>
      <w:lvlText w:val="%1.%2.%3.%6"/>
      <w:lvlJc w:val="left"/>
      <w:pPr>
        <w:ind w:left="2268" w:hanging="850"/>
      </w:pPr>
      <w:rPr>
        <w:rFonts w:hint="default"/>
      </w:rPr>
    </w:lvl>
    <w:lvl w:ilvl="6">
      <w:start w:val="1"/>
      <w:numFmt w:val="decimal"/>
      <w:pStyle w:val="PraLevel4"/>
      <w:lvlText w:val="%1.%2.%3.%7"/>
      <w:lvlJc w:val="left"/>
      <w:pPr>
        <w:ind w:left="2268" w:hanging="85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2"/>
  </w:num>
  <w:num w:numId="3">
    <w:abstractNumId w:val="1"/>
  </w:num>
  <w:num w:numId="4">
    <w:abstractNumId w:val="21"/>
  </w:num>
  <w:num w:numId="5">
    <w:abstractNumId w:val="5"/>
  </w:num>
  <w:num w:numId="6">
    <w:abstractNumId w:val="18"/>
  </w:num>
  <w:num w:numId="7">
    <w:abstractNumId w:val="19"/>
  </w:num>
  <w:num w:numId="8">
    <w:abstractNumId w:val="0"/>
  </w:num>
  <w:num w:numId="9">
    <w:abstractNumId w:val="3"/>
  </w:num>
  <w:num w:numId="10">
    <w:abstractNumId w:val="20"/>
  </w:num>
  <w:num w:numId="11">
    <w:abstractNumId w:val="16"/>
  </w:num>
  <w:num w:numId="12">
    <w:abstractNumId w:val="4"/>
    <w:lvlOverride w:ilvl="0">
      <w:startOverride w:val="52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0"/>
  </w:num>
  <w:num w:numId="16">
    <w:abstractNumId w:val="17"/>
  </w:num>
  <w:num w:numId="17">
    <w:abstractNumId w:val="24"/>
  </w:num>
  <w:num w:numId="18">
    <w:abstractNumId w:val="7"/>
  </w:num>
  <w:num w:numId="19">
    <w:abstractNumId w:val="8"/>
  </w:num>
  <w:num w:numId="20">
    <w:abstractNumId w:val="2"/>
  </w:num>
  <w:num w:numId="21">
    <w:abstractNumId w:val="6"/>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22881">
      <o:colormru v:ext="edit" colors="#00a8d0,#008eb0,#1492e8,#1287d6,#117dc7,#c2e3f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37"/>
    <w:rsid w:val="00004332"/>
    <w:rsid w:val="000061E5"/>
    <w:rsid w:val="00006318"/>
    <w:rsid w:val="0000748A"/>
    <w:rsid w:val="00007D1C"/>
    <w:rsid w:val="000104D6"/>
    <w:rsid w:val="00011C35"/>
    <w:rsid w:val="00011FD8"/>
    <w:rsid w:val="000127C8"/>
    <w:rsid w:val="00013685"/>
    <w:rsid w:val="0001377C"/>
    <w:rsid w:val="00013D19"/>
    <w:rsid w:val="00014FC5"/>
    <w:rsid w:val="000151BA"/>
    <w:rsid w:val="00016D4E"/>
    <w:rsid w:val="00017749"/>
    <w:rsid w:val="000208B8"/>
    <w:rsid w:val="00020D19"/>
    <w:rsid w:val="00022490"/>
    <w:rsid w:val="000226B9"/>
    <w:rsid w:val="00023C84"/>
    <w:rsid w:val="00023E34"/>
    <w:rsid w:val="000240FA"/>
    <w:rsid w:val="000253D5"/>
    <w:rsid w:val="00027058"/>
    <w:rsid w:val="000270BC"/>
    <w:rsid w:val="00027150"/>
    <w:rsid w:val="0003019F"/>
    <w:rsid w:val="00031077"/>
    <w:rsid w:val="00032C0F"/>
    <w:rsid w:val="00034D06"/>
    <w:rsid w:val="00035366"/>
    <w:rsid w:val="00036A58"/>
    <w:rsid w:val="00036EE7"/>
    <w:rsid w:val="00040D79"/>
    <w:rsid w:val="0004103B"/>
    <w:rsid w:val="00041735"/>
    <w:rsid w:val="000424F1"/>
    <w:rsid w:val="00042CD4"/>
    <w:rsid w:val="000431FD"/>
    <w:rsid w:val="00045AC0"/>
    <w:rsid w:val="00046396"/>
    <w:rsid w:val="000473A4"/>
    <w:rsid w:val="00047B1C"/>
    <w:rsid w:val="000503AF"/>
    <w:rsid w:val="000505E0"/>
    <w:rsid w:val="0005065E"/>
    <w:rsid w:val="00051292"/>
    <w:rsid w:val="000514E1"/>
    <w:rsid w:val="00051547"/>
    <w:rsid w:val="000530A4"/>
    <w:rsid w:val="000539B1"/>
    <w:rsid w:val="000545FD"/>
    <w:rsid w:val="00057434"/>
    <w:rsid w:val="00057B8E"/>
    <w:rsid w:val="000606F1"/>
    <w:rsid w:val="0006086A"/>
    <w:rsid w:val="0006104A"/>
    <w:rsid w:val="00061F70"/>
    <w:rsid w:val="0006423E"/>
    <w:rsid w:val="00066AE2"/>
    <w:rsid w:val="00067D75"/>
    <w:rsid w:val="00070E65"/>
    <w:rsid w:val="00071358"/>
    <w:rsid w:val="00071F7A"/>
    <w:rsid w:val="00073008"/>
    <w:rsid w:val="0007428F"/>
    <w:rsid w:val="00074961"/>
    <w:rsid w:val="000753A8"/>
    <w:rsid w:val="00076BDC"/>
    <w:rsid w:val="00083A5F"/>
    <w:rsid w:val="00084434"/>
    <w:rsid w:val="00084B74"/>
    <w:rsid w:val="000858BA"/>
    <w:rsid w:val="00085E54"/>
    <w:rsid w:val="00086C30"/>
    <w:rsid w:val="000871E6"/>
    <w:rsid w:val="00091D01"/>
    <w:rsid w:val="00094A7F"/>
    <w:rsid w:val="00097052"/>
    <w:rsid w:val="00097838"/>
    <w:rsid w:val="000A0319"/>
    <w:rsid w:val="000A04C4"/>
    <w:rsid w:val="000A08C2"/>
    <w:rsid w:val="000A0B03"/>
    <w:rsid w:val="000A0DDA"/>
    <w:rsid w:val="000A2F47"/>
    <w:rsid w:val="000A3BFF"/>
    <w:rsid w:val="000A4C2B"/>
    <w:rsid w:val="000A4D3A"/>
    <w:rsid w:val="000A61D7"/>
    <w:rsid w:val="000A7E01"/>
    <w:rsid w:val="000B08E8"/>
    <w:rsid w:val="000B11D5"/>
    <w:rsid w:val="000B1E79"/>
    <w:rsid w:val="000B254F"/>
    <w:rsid w:val="000B29AA"/>
    <w:rsid w:val="000B2C01"/>
    <w:rsid w:val="000B2E31"/>
    <w:rsid w:val="000B34D3"/>
    <w:rsid w:val="000B35E8"/>
    <w:rsid w:val="000B3B5E"/>
    <w:rsid w:val="000B4B18"/>
    <w:rsid w:val="000B5BBA"/>
    <w:rsid w:val="000B6362"/>
    <w:rsid w:val="000B6420"/>
    <w:rsid w:val="000B6930"/>
    <w:rsid w:val="000B7231"/>
    <w:rsid w:val="000B7B4A"/>
    <w:rsid w:val="000C08CC"/>
    <w:rsid w:val="000C4928"/>
    <w:rsid w:val="000C5827"/>
    <w:rsid w:val="000C5AF3"/>
    <w:rsid w:val="000C627E"/>
    <w:rsid w:val="000C6F95"/>
    <w:rsid w:val="000C7021"/>
    <w:rsid w:val="000C7915"/>
    <w:rsid w:val="000C7D76"/>
    <w:rsid w:val="000D0269"/>
    <w:rsid w:val="000D07AE"/>
    <w:rsid w:val="000D1BA2"/>
    <w:rsid w:val="000D22B2"/>
    <w:rsid w:val="000D2F6F"/>
    <w:rsid w:val="000D41B6"/>
    <w:rsid w:val="000D50AE"/>
    <w:rsid w:val="000D5185"/>
    <w:rsid w:val="000D51AE"/>
    <w:rsid w:val="000D59A9"/>
    <w:rsid w:val="000D606D"/>
    <w:rsid w:val="000D760D"/>
    <w:rsid w:val="000E24AE"/>
    <w:rsid w:val="000E48AE"/>
    <w:rsid w:val="000E4B5F"/>
    <w:rsid w:val="000E517A"/>
    <w:rsid w:val="000E7247"/>
    <w:rsid w:val="000F039A"/>
    <w:rsid w:val="000F100A"/>
    <w:rsid w:val="000F4047"/>
    <w:rsid w:val="000F41ED"/>
    <w:rsid w:val="000F5E24"/>
    <w:rsid w:val="000F7F2D"/>
    <w:rsid w:val="001004E3"/>
    <w:rsid w:val="0010355D"/>
    <w:rsid w:val="00103568"/>
    <w:rsid w:val="00103669"/>
    <w:rsid w:val="001042F5"/>
    <w:rsid w:val="001050BE"/>
    <w:rsid w:val="00105736"/>
    <w:rsid w:val="001058D4"/>
    <w:rsid w:val="00107D50"/>
    <w:rsid w:val="001109B7"/>
    <w:rsid w:val="00111484"/>
    <w:rsid w:val="0011188E"/>
    <w:rsid w:val="00111BFE"/>
    <w:rsid w:val="00112A43"/>
    <w:rsid w:val="00113042"/>
    <w:rsid w:val="001130A9"/>
    <w:rsid w:val="0011365B"/>
    <w:rsid w:val="00113E12"/>
    <w:rsid w:val="0011441F"/>
    <w:rsid w:val="00114BE4"/>
    <w:rsid w:val="001156A2"/>
    <w:rsid w:val="00116864"/>
    <w:rsid w:val="00116961"/>
    <w:rsid w:val="001169C5"/>
    <w:rsid w:val="0011766C"/>
    <w:rsid w:val="00117AE4"/>
    <w:rsid w:val="00120292"/>
    <w:rsid w:val="001229BC"/>
    <w:rsid w:val="00123305"/>
    <w:rsid w:val="00123796"/>
    <w:rsid w:val="001246F0"/>
    <w:rsid w:val="00124735"/>
    <w:rsid w:val="00125A49"/>
    <w:rsid w:val="00127B32"/>
    <w:rsid w:val="00130A66"/>
    <w:rsid w:val="00131016"/>
    <w:rsid w:val="00131472"/>
    <w:rsid w:val="00132A01"/>
    <w:rsid w:val="00132ADA"/>
    <w:rsid w:val="0013312A"/>
    <w:rsid w:val="00133C4D"/>
    <w:rsid w:val="001360AB"/>
    <w:rsid w:val="001362DD"/>
    <w:rsid w:val="00136CC5"/>
    <w:rsid w:val="00140263"/>
    <w:rsid w:val="00141A7E"/>
    <w:rsid w:val="00142283"/>
    <w:rsid w:val="00142BE9"/>
    <w:rsid w:val="00145895"/>
    <w:rsid w:val="00145D83"/>
    <w:rsid w:val="001461F2"/>
    <w:rsid w:val="00146BE4"/>
    <w:rsid w:val="00146F85"/>
    <w:rsid w:val="001470BB"/>
    <w:rsid w:val="0014717A"/>
    <w:rsid w:val="001474A2"/>
    <w:rsid w:val="00147C5B"/>
    <w:rsid w:val="00151205"/>
    <w:rsid w:val="00153E5E"/>
    <w:rsid w:val="0015638D"/>
    <w:rsid w:val="0015679D"/>
    <w:rsid w:val="00156898"/>
    <w:rsid w:val="00156B71"/>
    <w:rsid w:val="00157091"/>
    <w:rsid w:val="001616D6"/>
    <w:rsid w:val="00161BB3"/>
    <w:rsid w:val="001640CC"/>
    <w:rsid w:val="00164691"/>
    <w:rsid w:val="001650A2"/>
    <w:rsid w:val="00165D27"/>
    <w:rsid w:val="0016768F"/>
    <w:rsid w:val="00171207"/>
    <w:rsid w:val="001718F0"/>
    <w:rsid w:val="00171CAF"/>
    <w:rsid w:val="00172806"/>
    <w:rsid w:val="00172AB6"/>
    <w:rsid w:val="001736E8"/>
    <w:rsid w:val="001759DF"/>
    <w:rsid w:val="00175B1F"/>
    <w:rsid w:val="00176367"/>
    <w:rsid w:val="00177162"/>
    <w:rsid w:val="00177EE3"/>
    <w:rsid w:val="001813CB"/>
    <w:rsid w:val="00182491"/>
    <w:rsid w:val="00183994"/>
    <w:rsid w:val="00186BE0"/>
    <w:rsid w:val="001870FC"/>
    <w:rsid w:val="001904C3"/>
    <w:rsid w:val="001917DB"/>
    <w:rsid w:val="00192B47"/>
    <w:rsid w:val="00192F85"/>
    <w:rsid w:val="00193DFB"/>
    <w:rsid w:val="001940DB"/>
    <w:rsid w:val="001955AC"/>
    <w:rsid w:val="001968C5"/>
    <w:rsid w:val="00197752"/>
    <w:rsid w:val="001A0B04"/>
    <w:rsid w:val="001A1160"/>
    <w:rsid w:val="001A2627"/>
    <w:rsid w:val="001A2958"/>
    <w:rsid w:val="001A2A7A"/>
    <w:rsid w:val="001A2A89"/>
    <w:rsid w:val="001A2A90"/>
    <w:rsid w:val="001A336D"/>
    <w:rsid w:val="001A4A9B"/>
    <w:rsid w:val="001A51D9"/>
    <w:rsid w:val="001A5F86"/>
    <w:rsid w:val="001A637D"/>
    <w:rsid w:val="001A76BD"/>
    <w:rsid w:val="001B0EB2"/>
    <w:rsid w:val="001B122A"/>
    <w:rsid w:val="001B182E"/>
    <w:rsid w:val="001B3035"/>
    <w:rsid w:val="001B6597"/>
    <w:rsid w:val="001B7433"/>
    <w:rsid w:val="001B7E86"/>
    <w:rsid w:val="001C01F6"/>
    <w:rsid w:val="001C0AF5"/>
    <w:rsid w:val="001C0C9D"/>
    <w:rsid w:val="001C3561"/>
    <w:rsid w:val="001C41ED"/>
    <w:rsid w:val="001C528B"/>
    <w:rsid w:val="001C55E6"/>
    <w:rsid w:val="001C7A22"/>
    <w:rsid w:val="001D0307"/>
    <w:rsid w:val="001D0C1C"/>
    <w:rsid w:val="001D1991"/>
    <w:rsid w:val="001D2A7E"/>
    <w:rsid w:val="001D3F9A"/>
    <w:rsid w:val="001D49B8"/>
    <w:rsid w:val="001D62A1"/>
    <w:rsid w:val="001D6DAA"/>
    <w:rsid w:val="001D7A07"/>
    <w:rsid w:val="001D7A22"/>
    <w:rsid w:val="001E064A"/>
    <w:rsid w:val="001E09FA"/>
    <w:rsid w:val="001E15C6"/>
    <w:rsid w:val="001E2F61"/>
    <w:rsid w:val="001E578F"/>
    <w:rsid w:val="001E6658"/>
    <w:rsid w:val="001E6D4A"/>
    <w:rsid w:val="001E71C8"/>
    <w:rsid w:val="001E787C"/>
    <w:rsid w:val="001F02A9"/>
    <w:rsid w:val="001F1027"/>
    <w:rsid w:val="001F1C66"/>
    <w:rsid w:val="001F1F4B"/>
    <w:rsid w:val="001F23A2"/>
    <w:rsid w:val="001F5A98"/>
    <w:rsid w:val="001F5D5A"/>
    <w:rsid w:val="001F6C30"/>
    <w:rsid w:val="001F7918"/>
    <w:rsid w:val="00200653"/>
    <w:rsid w:val="0020207A"/>
    <w:rsid w:val="0020357B"/>
    <w:rsid w:val="0020453E"/>
    <w:rsid w:val="0020615F"/>
    <w:rsid w:val="00206220"/>
    <w:rsid w:val="002069BE"/>
    <w:rsid w:val="00207DDE"/>
    <w:rsid w:val="00211645"/>
    <w:rsid w:val="00211F72"/>
    <w:rsid w:val="00215E73"/>
    <w:rsid w:val="00216836"/>
    <w:rsid w:val="00216A91"/>
    <w:rsid w:val="00217833"/>
    <w:rsid w:val="00217969"/>
    <w:rsid w:val="00220093"/>
    <w:rsid w:val="00222459"/>
    <w:rsid w:val="00223326"/>
    <w:rsid w:val="002233EF"/>
    <w:rsid w:val="00224E9A"/>
    <w:rsid w:val="0022679B"/>
    <w:rsid w:val="00226AAE"/>
    <w:rsid w:val="00226DC3"/>
    <w:rsid w:val="00227C2B"/>
    <w:rsid w:val="0023133E"/>
    <w:rsid w:val="00231FB9"/>
    <w:rsid w:val="00234185"/>
    <w:rsid w:val="00234C1F"/>
    <w:rsid w:val="0023558A"/>
    <w:rsid w:val="0023577D"/>
    <w:rsid w:val="00235C18"/>
    <w:rsid w:val="002360B8"/>
    <w:rsid w:val="002370ED"/>
    <w:rsid w:val="002401A9"/>
    <w:rsid w:val="0024186E"/>
    <w:rsid w:val="0024211A"/>
    <w:rsid w:val="00242316"/>
    <w:rsid w:val="00242582"/>
    <w:rsid w:val="00242A65"/>
    <w:rsid w:val="00244E50"/>
    <w:rsid w:val="002464D4"/>
    <w:rsid w:val="00251775"/>
    <w:rsid w:val="00253F92"/>
    <w:rsid w:val="0025460C"/>
    <w:rsid w:val="0025493B"/>
    <w:rsid w:val="00255BCA"/>
    <w:rsid w:val="00255E95"/>
    <w:rsid w:val="00256098"/>
    <w:rsid w:val="002579A0"/>
    <w:rsid w:val="00260748"/>
    <w:rsid w:val="00262053"/>
    <w:rsid w:val="0026405B"/>
    <w:rsid w:val="00265264"/>
    <w:rsid w:val="002656DD"/>
    <w:rsid w:val="0027097D"/>
    <w:rsid w:val="00271408"/>
    <w:rsid w:val="002725EA"/>
    <w:rsid w:val="00272B52"/>
    <w:rsid w:val="00273BFA"/>
    <w:rsid w:val="00274C82"/>
    <w:rsid w:val="002751EA"/>
    <w:rsid w:val="00275342"/>
    <w:rsid w:val="0027596E"/>
    <w:rsid w:val="0027644D"/>
    <w:rsid w:val="00276BE3"/>
    <w:rsid w:val="002774A0"/>
    <w:rsid w:val="00277807"/>
    <w:rsid w:val="002835F3"/>
    <w:rsid w:val="00283EE6"/>
    <w:rsid w:val="0028420D"/>
    <w:rsid w:val="00284CD0"/>
    <w:rsid w:val="002866DA"/>
    <w:rsid w:val="00286C55"/>
    <w:rsid w:val="00291D07"/>
    <w:rsid w:val="002921E7"/>
    <w:rsid w:val="002927AD"/>
    <w:rsid w:val="002953A4"/>
    <w:rsid w:val="00295CB6"/>
    <w:rsid w:val="00297A20"/>
    <w:rsid w:val="002A39B7"/>
    <w:rsid w:val="002A5860"/>
    <w:rsid w:val="002A7218"/>
    <w:rsid w:val="002B0DA1"/>
    <w:rsid w:val="002B1780"/>
    <w:rsid w:val="002B2054"/>
    <w:rsid w:val="002B31B7"/>
    <w:rsid w:val="002B3E90"/>
    <w:rsid w:val="002B3EE2"/>
    <w:rsid w:val="002B4A24"/>
    <w:rsid w:val="002B57B1"/>
    <w:rsid w:val="002B63DA"/>
    <w:rsid w:val="002B6E52"/>
    <w:rsid w:val="002B6F3E"/>
    <w:rsid w:val="002B70A5"/>
    <w:rsid w:val="002B74F1"/>
    <w:rsid w:val="002B798C"/>
    <w:rsid w:val="002C0998"/>
    <w:rsid w:val="002C1992"/>
    <w:rsid w:val="002C1E29"/>
    <w:rsid w:val="002C3A0E"/>
    <w:rsid w:val="002C3CFD"/>
    <w:rsid w:val="002C3F32"/>
    <w:rsid w:val="002C45F5"/>
    <w:rsid w:val="002C563E"/>
    <w:rsid w:val="002C61A3"/>
    <w:rsid w:val="002C6247"/>
    <w:rsid w:val="002C627F"/>
    <w:rsid w:val="002C7073"/>
    <w:rsid w:val="002C7910"/>
    <w:rsid w:val="002D0974"/>
    <w:rsid w:val="002D14FD"/>
    <w:rsid w:val="002D1ACC"/>
    <w:rsid w:val="002D2247"/>
    <w:rsid w:val="002D36A5"/>
    <w:rsid w:val="002D3CD0"/>
    <w:rsid w:val="002D3F93"/>
    <w:rsid w:val="002D59A2"/>
    <w:rsid w:val="002D6752"/>
    <w:rsid w:val="002D687F"/>
    <w:rsid w:val="002D7823"/>
    <w:rsid w:val="002E0200"/>
    <w:rsid w:val="002E0223"/>
    <w:rsid w:val="002E0589"/>
    <w:rsid w:val="002E09D2"/>
    <w:rsid w:val="002E0F75"/>
    <w:rsid w:val="002E215F"/>
    <w:rsid w:val="002E2E55"/>
    <w:rsid w:val="002E34C9"/>
    <w:rsid w:val="002E4D55"/>
    <w:rsid w:val="002E6584"/>
    <w:rsid w:val="002E6655"/>
    <w:rsid w:val="002F0645"/>
    <w:rsid w:val="002F0649"/>
    <w:rsid w:val="002F0A63"/>
    <w:rsid w:val="002F26AF"/>
    <w:rsid w:val="002F3A98"/>
    <w:rsid w:val="002F58DB"/>
    <w:rsid w:val="002F5E28"/>
    <w:rsid w:val="002F6663"/>
    <w:rsid w:val="002F67B0"/>
    <w:rsid w:val="002F7B45"/>
    <w:rsid w:val="00300144"/>
    <w:rsid w:val="003024F0"/>
    <w:rsid w:val="00302623"/>
    <w:rsid w:val="00302853"/>
    <w:rsid w:val="00303BEF"/>
    <w:rsid w:val="00304726"/>
    <w:rsid w:val="003049C1"/>
    <w:rsid w:val="003055C8"/>
    <w:rsid w:val="003056B4"/>
    <w:rsid w:val="00305E6A"/>
    <w:rsid w:val="00306199"/>
    <w:rsid w:val="0030794C"/>
    <w:rsid w:val="00307F38"/>
    <w:rsid w:val="003109D1"/>
    <w:rsid w:val="003112BD"/>
    <w:rsid w:val="003118BC"/>
    <w:rsid w:val="003119A8"/>
    <w:rsid w:val="00311B76"/>
    <w:rsid w:val="00311C82"/>
    <w:rsid w:val="00311D90"/>
    <w:rsid w:val="00311E96"/>
    <w:rsid w:val="00313F8A"/>
    <w:rsid w:val="00314C7E"/>
    <w:rsid w:val="0031536E"/>
    <w:rsid w:val="00315409"/>
    <w:rsid w:val="00315A14"/>
    <w:rsid w:val="00315BBB"/>
    <w:rsid w:val="00317745"/>
    <w:rsid w:val="00320621"/>
    <w:rsid w:val="00320C61"/>
    <w:rsid w:val="00322CF5"/>
    <w:rsid w:val="00323D5C"/>
    <w:rsid w:val="003262F3"/>
    <w:rsid w:val="0033081E"/>
    <w:rsid w:val="00331100"/>
    <w:rsid w:val="003316F9"/>
    <w:rsid w:val="00332081"/>
    <w:rsid w:val="00333971"/>
    <w:rsid w:val="00333A26"/>
    <w:rsid w:val="00334756"/>
    <w:rsid w:val="00337843"/>
    <w:rsid w:val="00337D12"/>
    <w:rsid w:val="003401C9"/>
    <w:rsid w:val="0034081E"/>
    <w:rsid w:val="00342C58"/>
    <w:rsid w:val="003444C4"/>
    <w:rsid w:val="00346F9D"/>
    <w:rsid w:val="0034700A"/>
    <w:rsid w:val="0034771B"/>
    <w:rsid w:val="00350C7B"/>
    <w:rsid w:val="003523D4"/>
    <w:rsid w:val="003543A8"/>
    <w:rsid w:val="00354EFA"/>
    <w:rsid w:val="00355775"/>
    <w:rsid w:val="00360DC1"/>
    <w:rsid w:val="00360FD6"/>
    <w:rsid w:val="0036216E"/>
    <w:rsid w:val="003624A1"/>
    <w:rsid w:val="00362D16"/>
    <w:rsid w:val="00362FC1"/>
    <w:rsid w:val="00363342"/>
    <w:rsid w:val="00371B63"/>
    <w:rsid w:val="00372209"/>
    <w:rsid w:val="0037421E"/>
    <w:rsid w:val="003746C7"/>
    <w:rsid w:val="00374C39"/>
    <w:rsid w:val="00375EA3"/>
    <w:rsid w:val="00380109"/>
    <w:rsid w:val="0038057E"/>
    <w:rsid w:val="003808E3"/>
    <w:rsid w:val="0038185E"/>
    <w:rsid w:val="0038359F"/>
    <w:rsid w:val="00385801"/>
    <w:rsid w:val="00386573"/>
    <w:rsid w:val="003877EC"/>
    <w:rsid w:val="00387F58"/>
    <w:rsid w:val="00391E5A"/>
    <w:rsid w:val="00392065"/>
    <w:rsid w:val="003927E2"/>
    <w:rsid w:val="00392942"/>
    <w:rsid w:val="00392A4C"/>
    <w:rsid w:val="00392F85"/>
    <w:rsid w:val="00395704"/>
    <w:rsid w:val="0039594F"/>
    <w:rsid w:val="003969D0"/>
    <w:rsid w:val="003A0F16"/>
    <w:rsid w:val="003A10C8"/>
    <w:rsid w:val="003A1134"/>
    <w:rsid w:val="003A15A0"/>
    <w:rsid w:val="003A3721"/>
    <w:rsid w:val="003A4ED2"/>
    <w:rsid w:val="003A5070"/>
    <w:rsid w:val="003A6974"/>
    <w:rsid w:val="003A6B99"/>
    <w:rsid w:val="003A6D42"/>
    <w:rsid w:val="003B146D"/>
    <w:rsid w:val="003B1F52"/>
    <w:rsid w:val="003B3D6F"/>
    <w:rsid w:val="003B5190"/>
    <w:rsid w:val="003B7ED4"/>
    <w:rsid w:val="003C000A"/>
    <w:rsid w:val="003C0062"/>
    <w:rsid w:val="003C0112"/>
    <w:rsid w:val="003C0D10"/>
    <w:rsid w:val="003C1F84"/>
    <w:rsid w:val="003C2477"/>
    <w:rsid w:val="003C3708"/>
    <w:rsid w:val="003C3719"/>
    <w:rsid w:val="003C5111"/>
    <w:rsid w:val="003C5E7E"/>
    <w:rsid w:val="003C637B"/>
    <w:rsid w:val="003C7B21"/>
    <w:rsid w:val="003C7C4E"/>
    <w:rsid w:val="003D0DB1"/>
    <w:rsid w:val="003D2607"/>
    <w:rsid w:val="003D2C7A"/>
    <w:rsid w:val="003D3198"/>
    <w:rsid w:val="003D3578"/>
    <w:rsid w:val="003D4824"/>
    <w:rsid w:val="003D49D5"/>
    <w:rsid w:val="003D4BEA"/>
    <w:rsid w:val="003D5070"/>
    <w:rsid w:val="003D625D"/>
    <w:rsid w:val="003D70AF"/>
    <w:rsid w:val="003D74CE"/>
    <w:rsid w:val="003D7E6B"/>
    <w:rsid w:val="003E133F"/>
    <w:rsid w:val="003E19A9"/>
    <w:rsid w:val="003E3C0B"/>
    <w:rsid w:val="003E4F1F"/>
    <w:rsid w:val="003E549E"/>
    <w:rsid w:val="003E6B80"/>
    <w:rsid w:val="003F2CD7"/>
    <w:rsid w:val="003F35C5"/>
    <w:rsid w:val="003F3A70"/>
    <w:rsid w:val="003F40F2"/>
    <w:rsid w:val="003F61A3"/>
    <w:rsid w:val="003F69F2"/>
    <w:rsid w:val="003F7287"/>
    <w:rsid w:val="003F7C61"/>
    <w:rsid w:val="004010F7"/>
    <w:rsid w:val="00401297"/>
    <w:rsid w:val="004014BD"/>
    <w:rsid w:val="004015F7"/>
    <w:rsid w:val="004019CD"/>
    <w:rsid w:val="00402C33"/>
    <w:rsid w:val="00404AE3"/>
    <w:rsid w:val="00405E83"/>
    <w:rsid w:val="004066AC"/>
    <w:rsid w:val="00406B4D"/>
    <w:rsid w:val="00407B58"/>
    <w:rsid w:val="004106BD"/>
    <w:rsid w:val="00410EEF"/>
    <w:rsid w:val="00411185"/>
    <w:rsid w:val="004117A3"/>
    <w:rsid w:val="00411BFF"/>
    <w:rsid w:val="00411F92"/>
    <w:rsid w:val="0041210E"/>
    <w:rsid w:val="004123BC"/>
    <w:rsid w:val="004124F2"/>
    <w:rsid w:val="00416217"/>
    <w:rsid w:val="00416F90"/>
    <w:rsid w:val="00417B10"/>
    <w:rsid w:val="004255E7"/>
    <w:rsid w:val="004264A5"/>
    <w:rsid w:val="00427EBD"/>
    <w:rsid w:val="00430E1E"/>
    <w:rsid w:val="0043102E"/>
    <w:rsid w:val="0043167A"/>
    <w:rsid w:val="00431A90"/>
    <w:rsid w:val="004320C8"/>
    <w:rsid w:val="00432728"/>
    <w:rsid w:val="0043359D"/>
    <w:rsid w:val="00434072"/>
    <w:rsid w:val="004345C5"/>
    <w:rsid w:val="004346EF"/>
    <w:rsid w:val="00435760"/>
    <w:rsid w:val="004365C3"/>
    <w:rsid w:val="00436F73"/>
    <w:rsid w:val="00437EBF"/>
    <w:rsid w:val="004402F0"/>
    <w:rsid w:val="00440590"/>
    <w:rsid w:val="00441F9A"/>
    <w:rsid w:val="004421A3"/>
    <w:rsid w:val="00442961"/>
    <w:rsid w:val="00442C79"/>
    <w:rsid w:val="00442E99"/>
    <w:rsid w:val="00443BFE"/>
    <w:rsid w:val="00445C0F"/>
    <w:rsid w:val="00446245"/>
    <w:rsid w:val="00447F0E"/>
    <w:rsid w:val="00450F9E"/>
    <w:rsid w:val="00452F5D"/>
    <w:rsid w:val="004546B6"/>
    <w:rsid w:val="0045588E"/>
    <w:rsid w:val="00456DEE"/>
    <w:rsid w:val="00461A0A"/>
    <w:rsid w:val="0046244D"/>
    <w:rsid w:val="00464D9F"/>
    <w:rsid w:val="0046677D"/>
    <w:rsid w:val="0046797C"/>
    <w:rsid w:val="00467B47"/>
    <w:rsid w:val="004707DF"/>
    <w:rsid w:val="00470CA5"/>
    <w:rsid w:val="00471082"/>
    <w:rsid w:val="00475124"/>
    <w:rsid w:val="00475801"/>
    <w:rsid w:val="00475810"/>
    <w:rsid w:val="0047791F"/>
    <w:rsid w:val="00480CD9"/>
    <w:rsid w:val="00481861"/>
    <w:rsid w:val="004827A0"/>
    <w:rsid w:val="00484ABF"/>
    <w:rsid w:val="00484F92"/>
    <w:rsid w:val="00485237"/>
    <w:rsid w:val="00485625"/>
    <w:rsid w:val="004857CC"/>
    <w:rsid w:val="00485BD4"/>
    <w:rsid w:val="00486135"/>
    <w:rsid w:val="004865FE"/>
    <w:rsid w:val="00487A4D"/>
    <w:rsid w:val="00487A8B"/>
    <w:rsid w:val="0049144E"/>
    <w:rsid w:val="00491803"/>
    <w:rsid w:val="00494421"/>
    <w:rsid w:val="004945D0"/>
    <w:rsid w:val="0049486D"/>
    <w:rsid w:val="00495272"/>
    <w:rsid w:val="00497794"/>
    <w:rsid w:val="004A0000"/>
    <w:rsid w:val="004A0FD0"/>
    <w:rsid w:val="004A1A38"/>
    <w:rsid w:val="004A1E65"/>
    <w:rsid w:val="004A2493"/>
    <w:rsid w:val="004A26B3"/>
    <w:rsid w:val="004A2760"/>
    <w:rsid w:val="004A50B4"/>
    <w:rsid w:val="004A5FE7"/>
    <w:rsid w:val="004A61A6"/>
    <w:rsid w:val="004A6BAB"/>
    <w:rsid w:val="004A6E0D"/>
    <w:rsid w:val="004A6F31"/>
    <w:rsid w:val="004A73AB"/>
    <w:rsid w:val="004A79D0"/>
    <w:rsid w:val="004A7CED"/>
    <w:rsid w:val="004B1D3C"/>
    <w:rsid w:val="004B2379"/>
    <w:rsid w:val="004B6887"/>
    <w:rsid w:val="004B7646"/>
    <w:rsid w:val="004C0771"/>
    <w:rsid w:val="004C0A11"/>
    <w:rsid w:val="004C0E39"/>
    <w:rsid w:val="004C0E5F"/>
    <w:rsid w:val="004C2556"/>
    <w:rsid w:val="004C369B"/>
    <w:rsid w:val="004C3C7E"/>
    <w:rsid w:val="004C43EF"/>
    <w:rsid w:val="004C60B2"/>
    <w:rsid w:val="004C72A9"/>
    <w:rsid w:val="004C73E4"/>
    <w:rsid w:val="004D01CC"/>
    <w:rsid w:val="004D0BE0"/>
    <w:rsid w:val="004D1080"/>
    <w:rsid w:val="004D165C"/>
    <w:rsid w:val="004D1794"/>
    <w:rsid w:val="004D21C6"/>
    <w:rsid w:val="004D2438"/>
    <w:rsid w:val="004D2B37"/>
    <w:rsid w:val="004D2BE8"/>
    <w:rsid w:val="004D364C"/>
    <w:rsid w:val="004D389C"/>
    <w:rsid w:val="004D3B02"/>
    <w:rsid w:val="004D4264"/>
    <w:rsid w:val="004D623E"/>
    <w:rsid w:val="004D667C"/>
    <w:rsid w:val="004D68A1"/>
    <w:rsid w:val="004D6A31"/>
    <w:rsid w:val="004D7AB2"/>
    <w:rsid w:val="004E1DAF"/>
    <w:rsid w:val="004E2514"/>
    <w:rsid w:val="004E304A"/>
    <w:rsid w:val="004E34EC"/>
    <w:rsid w:val="004E4141"/>
    <w:rsid w:val="004E4ECD"/>
    <w:rsid w:val="004E5A5E"/>
    <w:rsid w:val="004E61FB"/>
    <w:rsid w:val="004E6D33"/>
    <w:rsid w:val="004E6FA2"/>
    <w:rsid w:val="004F0C9A"/>
    <w:rsid w:val="004F155F"/>
    <w:rsid w:val="004F1976"/>
    <w:rsid w:val="004F2769"/>
    <w:rsid w:val="004F29F7"/>
    <w:rsid w:val="004F4F3F"/>
    <w:rsid w:val="004F6680"/>
    <w:rsid w:val="004F6F77"/>
    <w:rsid w:val="004F7B80"/>
    <w:rsid w:val="00501412"/>
    <w:rsid w:val="00501C01"/>
    <w:rsid w:val="00501F3B"/>
    <w:rsid w:val="005029B1"/>
    <w:rsid w:val="005033F5"/>
    <w:rsid w:val="005043F9"/>
    <w:rsid w:val="00506331"/>
    <w:rsid w:val="00506BAD"/>
    <w:rsid w:val="00507621"/>
    <w:rsid w:val="005076C7"/>
    <w:rsid w:val="00507EF7"/>
    <w:rsid w:val="005137F5"/>
    <w:rsid w:val="00513A09"/>
    <w:rsid w:val="00513A4C"/>
    <w:rsid w:val="0051416E"/>
    <w:rsid w:val="0051474F"/>
    <w:rsid w:val="00514E01"/>
    <w:rsid w:val="005165AD"/>
    <w:rsid w:val="00516A17"/>
    <w:rsid w:val="00517152"/>
    <w:rsid w:val="00517DCC"/>
    <w:rsid w:val="005202EC"/>
    <w:rsid w:val="005204F2"/>
    <w:rsid w:val="005207D4"/>
    <w:rsid w:val="00520DFF"/>
    <w:rsid w:val="005211B5"/>
    <w:rsid w:val="00522735"/>
    <w:rsid w:val="0052280B"/>
    <w:rsid w:val="00523BEE"/>
    <w:rsid w:val="00524C27"/>
    <w:rsid w:val="00524EDC"/>
    <w:rsid w:val="00526795"/>
    <w:rsid w:val="00526D2A"/>
    <w:rsid w:val="005274E0"/>
    <w:rsid w:val="005276E1"/>
    <w:rsid w:val="00527EE8"/>
    <w:rsid w:val="00530D38"/>
    <w:rsid w:val="00533979"/>
    <w:rsid w:val="00535B52"/>
    <w:rsid w:val="00536019"/>
    <w:rsid w:val="00537D02"/>
    <w:rsid w:val="00537FD3"/>
    <w:rsid w:val="00540F41"/>
    <w:rsid w:val="0054184C"/>
    <w:rsid w:val="00541F40"/>
    <w:rsid w:val="005439B9"/>
    <w:rsid w:val="00543DCE"/>
    <w:rsid w:val="0054479D"/>
    <w:rsid w:val="0054551C"/>
    <w:rsid w:val="0054557F"/>
    <w:rsid w:val="00546B5C"/>
    <w:rsid w:val="005505AB"/>
    <w:rsid w:val="005516FE"/>
    <w:rsid w:val="00552494"/>
    <w:rsid w:val="00553098"/>
    <w:rsid w:val="00555903"/>
    <w:rsid w:val="0055736F"/>
    <w:rsid w:val="00557728"/>
    <w:rsid w:val="005578E4"/>
    <w:rsid w:val="005610B3"/>
    <w:rsid w:val="005615BC"/>
    <w:rsid w:val="00562F57"/>
    <w:rsid w:val="00564737"/>
    <w:rsid w:val="005701EE"/>
    <w:rsid w:val="00570F0F"/>
    <w:rsid w:val="005726CA"/>
    <w:rsid w:val="00572DB6"/>
    <w:rsid w:val="00574C9C"/>
    <w:rsid w:val="00575B21"/>
    <w:rsid w:val="00575B83"/>
    <w:rsid w:val="00575C42"/>
    <w:rsid w:val="00576497"/>
    <w:rsid w:val="00576A8B"/>
    <w:rsid w:val="00576C1B"/>
    <w:rsid w:val="00576D20"/>
    <w:rsid w:val="00576FFB"/>
    <w:rsid w:val="00577113"/>
    <w:rsid w:val="0058064D"/>
    <w:rsid w:val="005814D2"/>
    <w:rsid w:val="00581717"/>
    <w:rsid w:val="00582202"/>
    <w:rsid w:val="00582851"/>
    <w:rsid w:val="0058446D"/>
    <w:rsid w:val="005848B0"/>
    <w:rsid w:val="00584D73"/>
    <w:rsid w:val="0058543E"/>
    <w:rsid w:val="00586958"/>
    <w:rsid w:val="00586A34"/>
    <w:rsid w:val="00587E44"/>
    <w:rsid w:val="0059069B"/>
    <w:rsid w:val="00592502"/>
    <w:rsid w:val="00593337"/>
    <w:rsid w:val="00593502"/>
    <w:rsid w:val="005935B5"/>
    <w:rsid w:val="005937B2"/>
    <w:rsid w:val="005937F7"/>
    <w:rsid w:val="0059417C"/>
    <w:rsid w:val="00594980"/>
    <w:rsid w:val="0059594E"/>
    <w:rsid w:val="00596A13"/>
    <w:rsid w:val="0059746D"/>
    <w:rsid w:val="00597820"/>
    <w:rsid w:val="00597A9C"/>
    <w:rsid w:val="00597F97"/>
    <w:rsid w:val="005A0189"/>
    <w:rsid w:val="005A18C3"/>
    <w:rsid w:val="005A1D8D"/>
    <w:rsid w:val="005A1E16"/>
    <w:rsid w:val="005A457D"/>
    <w:rsid w:val="005A4EE3"/>
    <w:rsid w:val="005A553D"/>
    <w:rsid w:val="005A584C"/>
    <w:rsid w:val="005A5F41"/>
    <w:rsid w:val="005A604C"/>
    <w:rsid w:val="005A66D2"/>
    <w:rsid w:val="005A6D3A"/>
    <w:rsid w:val="005A6D4F"/>
    <w:rsid w:val="005A741A"/>
    <w:rsid w:val="005A773A"/>
    <w:rsid w:val="005B0633"/>
    <w:rsid w:val="005B0F39"/>
    <w:rsid w:val="005B1CC3"/>
    <w:rsid w:val="005B1F4F"/>
    <w:rsid w:val="005B2925"/>
    <w:rsid w:val="005B36B5"/>
    <w:rsid w:val="005B449D"/>
    <w:rsid w:val="005B47C3"/>
    <w:rsid w:val="005B4EEF"/>
    <w:rsid w:val="005B52C1"/>
    <w:rsid w:val="005B55A0"/>
    <w:rsid w:val="005B5D59"/>
    <w:rsid w:val="005B61CE"/>
    <w:rsid w:val="005B6717"/>
    <w:rsid w:val="005C1566"/>
    <w:rsid w:val="005C23A2"/>
    <w:rsid w:val="005C246B"/>
    <w:rsid w:val="005C2F1F"/>
    <w:rsid w:val="005C46CC"/>
    <w:rsid w:val="005C5A16"/>
    <w:rsid w:val="005C6267"/>
    <w:rsid w:val="005C69A7"/>
    <w:rsid w:val="005C7184"/>
    <w:rsid w:val="005D0543"/>
    <w:rsid w:val="005D08BD"/>
    <w:rsid w:val="005D1060"/>
    <w:rsid w:val="005D1129"/>
    <w:rsid w:val="005D18CA"/>
    <w:rsid w:val="005D26B0"/>
    <w:rsid w:val="005D30B0"/>
    <w:rsid w:val="005D3AA8"/>
    <w:rsid w:val="005D44B3"/>
    <w:rsid w:val="005D4D06"/>
    <w:rsid w:val="005D5967"/>
    <w:rsid w:val="005D607D"/>
    <w:rsid w:val="005D798A"/>
    <w:rsid w:val="005D7D44"/>
    <w:rsid w:val="005E0A03"/>
    <w:rsid w:val="005E1137"/>
    <w:rsid w:val="005E180C"/>
    <w:rsid w:val="005E2B6E"/>
    <w:rsid w:val="005E2C08"/>
    <w:rsid w:val="005E45D1"/>
    <w:rsid w:val="005E4AFB"/>
    <w:rsid w:val="005E4FDA"/>
    <w:rsid w:val="005E529F"/>
    <w:rsid w:val="005E5E03"/>
    <w:rsid w:val="005E7612"/>
    <w:rsid w:val="005E77E2"/>
    <w:rsid w:val="005E7C34"/>
    <w:rsid w:val="005F091C"/>
    <w:rsid w:val="005F099B"/>
    <w:rsid w:val="005F18E8"/>
    <w:rsid w:val="005F23CA"/>
    <w:rsid w:val="005F2621"/>
    <w:rsid w:val="005F5F22"/>
    <w:rsid w:val="005F633B"/>
    <w:rsid w:val="00600CAD"/>
    <w:rsid w:val="00601CE0"/>
    <w:rsid w:val="006022AE"/>
    <w:rsid w:val="006025E9"/>
    <w:rsid w:val="006036AE"/>
    <w:rsid w:val="00604049"/>
    <w:rsid w:val="00604627"/>
    <w:rsid w:val="006105DF"/>
    <w:rsid w:val="00611380"/>
    <w:rsid w:val="00611A47"/>
    <w:rsid w:val="00611C4C"/>
    <w:rsid w:val="00612DE1"/>
    <w:rsid w:val="006133DD"/>
    <w:rsid w:val="00614A69"/>
    <w:rsid w:val="006160B8"/>
    <w:rsid w:val="00616CAF"/>
    <w:rsid w:val="00616E2B"/>
    <w:rsid w:val="00620BF4"/>
    <w:rsid w:val="00622609"/>
    <w:rsid w:val="00622CA8"/>
    <w:rsid w:val="006230A4"/>
    <w:rsid w:val="006256CC"/>
    <w:rsid w:val="006269ED"/>
    <w:rsid w:val="00626F3F"/>
    <w:rsid w:val="00630162"/>
    <w:rsid w:val="00631905"/>
    <w:rsid w:val="00631BF3"/>
    <w:rsid w:val="00632AD6"/>
    <w:rsid w:val="00633E7D"/>
    <w:rsid w:val="00634414"/>
    <w:rsid w:val="00635D6F"/>
    <w:rsid w:val="0064169B"/>
    <w:rsid w:val="00641F9A"/>
    <w:rsid w:val="0064212F"/>
    <w:rsid w:val="006422DB"/>
    <w:rsid w:val="0064403F"/>
    <w:rsid w:val="00644171"/>
    <w:rsid w:val="00645652"/>
    <w:rsid w:val="00646098"/>
    <w:rsid w:val="006464EB"/>
    <w:rsid w:val="00651C13"/>
    <w:rsid w:val="006527F0"/>
    <w:rsid w:val="006529CA"/>
    <w:rsid w:val="00653B1C"/>
    <w:rsid w:val="00653F4F"/>
    <w:rsid w:val="0065474F"/>
    <w:rsid w:val="006606E0"/>
    <w:rsid w:val="00660F40"/>
    <w:rsid w:val="00661D33"/>
    <w:rsid w:val="006628EB"/>
    <w:rsid w:val="00663755"/>
    <w:rsid w:val="00663DF0"/>
    <w:rsid w:val="00664968"/>
    <w:rsid w:val="00666889"/>
    <w:rsid w:val="00670559"/>
    <w:rsid w:val="00670C1A"/>
    <w:rsid w:val="006717AC"/>
    <w:rsid w:val="00671BE8"/>
    <w:rsid w:val="00671F47"/>
    <w:rsid w:val="0067207C"/>
    <w:rsid w:val="00672140"/>
    <w:rsid w:val="00672C33"/>
    <w:rsid w:val="00673015"/>
    <w:rsid w:val="00674F94"/>
    <w:rsid w:val="00675D9A"/>
    <w:rsid w:val="0067684C"/>
    <w:rsid w:val="00677993"/>
    <w:rsid w:val="00680666"/>
    <w:rsid w:val="0068144E"/>
    <w:rsid w:val="00682BC6"/>
    <w:rsid w:val="00683784"/>
    <w:rsid w:val="0068535C"/>
    <w:rsid w:val="0068625E"/>
    <w:rsid w:val="00687525"/>
    <w:rsid w:val="0069073F"/>
    <w:rsid w:val="00690F97"/>
    <w:rsid w:val="00691002"/>
    <w:rsid w:val="006922D5"/>
    <w:rsid w:val="00692C93"/>
    <w:rsid w:val="006954CF"/>
    <w:rsid w:val="00695AE1"/>
    <w:rsid w:val="006966F4"/>
    <w:rsid w:val="00696D6A"/>
    <w:rsid w:val="006973B7"/>
    <w:rsid w:val="006A0297"/>
    <w:rsid w:val="006A18C4"/>
    <w:rsid w:val="006A1A9B"/>
    <w:rsid w:val="006A1EEC"/>
    <w:rsid w:val="006A227A"/>
    <w:rsid w:val="006A2632"/>
    <w:rsid w:val="006A2723"/>
    <w:rsid w:val="006A2A4B"/>
    <w:rsid w:val="006A3337"/>
    <w:rsid w:val="006A33BB"/>
    <w:rsid w:val="006A42C9"/>
    <w:rsid w:val="006A5422"/>
    <w:rsid w:val="006A6CFB"/>
    <w:rsid w:val="006A734C"/>
    <w:rsid w:val="006A76B0"/>
    <w:rsid w:val="006A7ED4"/>
    <w:rsid w:val="006B12DB"/>
    <w:rsid w:val="006B1416"/>
    <w:rsid w:val="006B1A9A"/>
    <w:rsid w:val="006B1E23"/>
    <w:rsid w:val="006B4AC1"/>
    <w:rsid w:val="006B5B56"/>
    <w:rsid w:val="006B61A8"/>
    <w:rsid w:val="006B6436"/>
    <w:rsid w:val="006B660C"/>
    <w:rsid w:val="006B7E19"/>
    <w:rsid w:val="006B7F0F"/>
    <w:rsid w:val="006C0098"/>
    <w:rsid w:val="006C0724"/>
    <w:rsid w:val="006C0747"/>
    <w:rsid w:val="006C086F"/>
    <w:rsid w:val="006C3855"/>
    <w:rsid w:val="006C38B0"/>
    <w:rsid w:val="006C3DF2"/>
    <w:rsid w:val="006C3F97"/>
    <w:rsid w:val="006C4413"/>
    <w:rsid w:val="006C5193"/>
    <w:rsid w:val="006C55AF"/>
    <w:rsid w:val="006C55EE"/>
    <w:rsid w:val="006C5E16"/>
    <w:rsid w:val="006C622D"/>
    <w:rsid w:val="006D04F7"/>
    <w:rsid w:val="006D0A16"/>
    <w:rsid w:val="006D2D44"/>
    <w:rsid w:val="006D3393"/>
    <w:rsid w:val="006D4352"/>
    <w:rsid w:val="006D4423"/>
    <w:rsid w:val="006D45EB"/>
    <w:rsid w:val="006D50C6"/>
    <w:rsid w:val="006D517B"/>
    <w:rsid w:val="006D5241"/>
    <w:rsid w:val="006D5384"/>
    <w:rsid w:val="006D5C86"/>
    <w:rsid w:val="006E324D"/>
    <w:rsid w:val="006E39CF"/>
    <w:rsid w:val="006E3A3C"/>
    <w:rsid w:val="006E3F03"/>
    <w:rsid w:val="006E5385"/>
    <w:rsid w:val="006E57F4"/>
    <w:rsid w:val="006E6C11"/>
    <w:rsid w:val="006F1469"/>
    <w:rsid w:val="006F3434"/>
    <w:rsid w:val="006F440C"/>
    <w:rsid w:val="006F4B82"/>
    <w:rsid w:val="006F69C3"/>
    <w:rsid w:val="006F7990"/>
    <w:rsid w:val="0070073B"/>
    <w:rsid w:val="00700EE4"/>
    <w:rsid w:val="00701F18"/>
    <w:rsid w:val="0070206C"/>
    <w:rsid w:val="00703217"/>
    <w:rsid w:val="0070522C"/>
    <w:rsid w:val="0070559D"/>
    <w:rsid w:val="007065EF"/>
    <w:rsid w:val="00711331"/>
    <w:rsid w:val="00713054"/>
    <w:rsid w:val="007137F0"/>
    <w:rsid w:val="00714583"/>
    <w:rsid w:val="0071596A"/>
    <w:rsid w:val="00715C95"/>
    <w:rsid w:val="007166C6"/>
    <w:rsid w:val="00716705"/>
    <w:rsid w:val="00717D47"/>
    <w:rsid w:val="00720AE8"/>
    <w:rsid w:val="00721E7F"/>
    <w:rsid w:val="00722BEA"/>
    <w:rsid w:val="00722D11"/>
    <w:rsid w:val="00722DC0"/>
    <w:rsid w:val="007231E7"/>
    <w:rsid w:val="007232E7"/>
    <w:rsid w:val="0072344E"/>
    <w:rsid w:val="00724864"/>
    <w:rsid w:val="00724A20"/>
    <w:rsid w:val="00725E22"/>
    <w:rsid w:val="0072630F"/>
    <w:rsid w:val="007308CF"/>
    <w:rsid w:val="0073141D"/>
    <w:rsid w:val="0073275B"/>
    <w:rsid w:val="00732C4E"/>
    <w:rsid w:val="00733285"/>
    <w:rsid w:val="007340D2"/>
    <w:rsid w:val="00734BF3"/>
    <w:rsid w:val="00736A2B"/>
    <w:rsid w:val="00736BFC"/>
    <w:rsid w:val="00736E6A"/>
    <w:rsid w:val="00737998"/>
    <w:rsid w:val="0073799E"/>
    <w:rsid w:val="00740ED1"/>
    <w:rsid w:val="00741274"/>
    <w:rsid w:val="00742434"/>
    <w:rsid w:val="0074249F"/>
    <w:rsid w:val="00744341"/>
    <w:rsid w:val="00747F91"/>
    <w:rsid w:val="0075074F"/>
    <w:rsid w:val="0075161E"/>
    <w:rsid w:val="007549B3"/>
    <w:rsid w:val="0075766D"/>
    <w:rsid w:val="00761CC1"/>
    <w:rsid w:val="007637F5"/>
    <w:rsid w:val="00766D80"/>
    <w:rsid w:val="00767600"/>
    <w:rsid w:val="007676E8"/>
    <w:rsid w:val="00770327"/>
    <w:rsid w:val="00771C3A"/>
    <w:rsid w:val="007741FF"/>
    <w:rsid w:val="00775FAD"/>
    <w:rsid w:val="007767B5"/>
    <w:rsid w:val="0077724D"/>
    <w:rsid w:val="00777989"/>
    <w:rsid w:val="00777990"/>
    <w:rsid w:val="0078243F"/>
    <w:rsid w:val="007834EF"/>
    <w:rsid w:val="00783596"/>
    <w:rsid w:val="00783C12"/>
    <w:rsid w:val="00786921"/>
    <w:rsid w:val="00787D98"/>
    <w:rsid w:val="00790DEA"/>
    <w:rsid w:val="0079158B"/>
    <w:rsid w:val="00791FCC"/>
    <w:rsid w:val="007947DA"/>
    <w:rsid w:val="00794F58"/>
    <w:rsid w:val="007951C9"/>
    <w:rsid w:val="00796336"/>
    <w:rsid w:val="0079680B"/>
    <w:rsid w:val="00796887"/>
    <w:rsid w:val="00797887"/>
    <w:rsid w:val="00797BFE"/>
    <w:rsid w:val="007A01D7"/>
    <w:rsid w:val="007A2413"/>
    <w:rsid w:val="007A2B38"/>
    <w:rsid w:val="007A2EB2"/>
    <w:rsid w:val="007A3934"/>
    <w:rsid w:val="007A5C54"/>
    <w:rsid w:val="007A5F9F"/>
    <w:rsid w:val="007B0A69"/>
    <w:rsid w:val="007B13AF"/>
    <w:rsid w:val="007B34EC"/>
    <w:rsid w:val="007C0664"/>
    <w:rsid w:val="007C10B2"/>
    <w:rsid w:val="007C10BC"/>
    <w:rsid w:val="007C26B0"/>
    <w:rsid w:val="007C4C84"/>
    <w:rsid w:val="007C5399"/>
    <w:rsid w:val="007C66E7"/>
    <w:rsid w:val="007C7C77"/>
    <w:rsid w:val="007D1B5C"/>
    <w:rsid w:val="007D224A"/>
    <w:rsid w:val="007D33FA"/>
    <w:rsid w:val="007D398F"/>
    <w:rsid w:val="007D3DDF"/>
    <w:rsid w:val="007D5E50"/>
    <w:rsid w:val="007D6646"/>
    <w:rsid w:val="007D77AD"/>
    <w:rsid w:val="007E0D60"/>
    <w:rsid w:val="007E1E4C"/>
    <w:rsid w:val="007E4523"/>
    <w:rsid w:val="007E471C"/>
    <w:rsid w:val="007E52CC"/>
    <w:rsid w:val="007E56BB"/>
    <w:rsid w:val="007E5BC8"/>
    <w:rsid w:val="007E6133"/>
    <w:rsid w:val="007E6FAE"/>
    <w:rsid w:val="007E76CB"/>
    <w:rsid w:val="007F0431"/>
    <w:rsid w:val="007F06BD"/>
    <w:rsid w:val="007F0A15"/>
    <w:rsid w:val="007F1889"/>
    <w:rsid w:val="007F3245"/>
    <w:rsid w:val="007F3CD6"/>
    <w:rsid w:val="007F410A"/>
    <w:rsid w:val="007F4272"/>
    <w:rsid w:val="007F4541"/>
    <w:rsid w:val="007F483D"/>
    <w:rsid w:val="007F7A56"/>
    <w:rsid w:val="00800950"/>
    <w:rsid w:val="00800A39"/>
    <w:rsid w:val="00801105"/>
    <w:rsid w:val="008012C4"/>
    <w:rsid w:val="00802A06"/>
    <w:rsid w:val="00802A65"/>
    <w:rsid w:val="00802C88"/>
    <w:rsid w:val="00807B41"/>
    <w:rsid w:val="00810260"/>
    <w:rsid w:val="008116F8"/>
    <w:rsid w:val="00811FE7"/>
    <w:rsid w:val="008127CC"/>
    <w:rsid w:val="00812ADA"/>
    <w:rsid w:val="008146DB"/>
    <w:rsid w:val="00814C85"/>
    <w:rsid w:val="00816003"/>
    <w:rsid w:val="008205E9"/>
    <w:rsid w:val="0082064E"/>
    <w:rsid w:val="00820932"/>
    <w:rsid w:val="008219D4"/>
    <w:rsid w:val="00822C35"/>
    <w:rsid w:val="00822C89"/>
    <w:rsid w:val="0082663A"/>
    <w:rsid w:val="00827725"/>
    <w:rsid w:val="00827F6A"/>
    <w:rsid w:val="008315D5"/>
    <w:rsid w:val="00832640"/>
    <w:rsid w:val="00833D63"/>
    <w:rsid w:val="00833D88"/>
    <w:rsid w:val="00834D0F"/>
    <w:rsid w:val="00834D1F"/>
    <w:rsid w:val="008366C5"/>
    <w:rsid w:val="008367B1"/>
    <w:rsid w:val="00836D50"/>
    <w:rsid w:val="008373A2"/>
    <w:rsid w:val="00840933"/>
    <w:rsid w:val="00840BB7"/>
    <w:rsid w:val="00842C62"/>
    <w:rsid w:val="00842D08"/>
    <w:rsid w:val="00843E0E"/>
    <w:rsid w:val="00845768"/>
    <w:rsid w:val="00845BB0"/>
    <w:rsid w:val="00846169"/>
    <w:rsid w:val="008503CD"/>
    <w:rsid w:val="0085333E"/>
    <w:rsid w:val="008535D7"/>
    <w:rsid w:val="00854AAB"/>
    <w:rsid w:val="00855520"/>
    <w:rsid w:val="00856E5B"/>
    <w:rsid w:val="00856F11"/>
    <w:rsid w:val="008573F6"/>
    <w:rsid w:val="008605A3"/>
    <w:rsid w:val="00861105"/>
    <w:rsid w:val="00862044"/>
    <w:rsid w:val="0086388A"/>
    <w:rsid w:val="00864843"/>
    <w:rsid w:val="00866C79"/>
    <w:rsid w:val="00874FAA"/>
    <w:rsid w:val="008758CB"/>
    <w:rsid w:val="00875906"/>
    <w:rsid w:val="0087655B"/>
    <w:rsid w:val="0087734F"/>
    <w:rsid w:val="00877945"/>
    <w:rsid w:val="00884796"/>
    <w:rsid w:val="0088748E"/>
    <w:rsid w:val="00887E38"/>
    <w:rsid w:val="008919D9"/>
    <w:rsid w:val="00892EF1"/>
    <w:rsid w:val="00893AE4"/>
    <w:rsid w:val="0089474E"/>
    <w:rsid w:val="0089576D"/>
    <w:rsid w:val="00895CC4"/>
    <w:rsid w:val="0089751A"/>
    <w:rsid w:val="00897EF6"/>
    <w:rsid w:val="008A01DE"/>
    <w:rsid w:val="008A20B7"/>
    <w:rsid w:val="008A3020"/>
    <w:rsid w:val="008A3327"/>
    <w:rsid w:val="008A3498"/>
    <w:rsid w:val="008A4D68"/>
    <w:rsid w:val="008A5510"/>
    <w:rsid w:val="008A55B8"/>
    <w:rsid w:val="008A5778"/>
    <w:rsid w:val="008A5B87"/>
    <w:rsid w:val="008A746A"/>
    <w:rsid w:val="008A7F04"/>
    <w:rsid w:val="008B31AA"/>
    <w:rsid w:val="008B3A63"/>
    <w:rsid w:val="008B74D7"/>
    <w:rsid w:val="008C0B6C"/>
    <w:rsid w:val="008C2057"/>
    <w:rsid w:val="008C4C7D"/>
    <w:rsid w:val="008C5182"/>
    <w:rsid w:val="008C5E07"/>
    <w:rsid w:val="008C662A"/>
    <w:rsid w:val="008C70EA"/>
    <w:rsid w:val="008C74FF"/>
    <w:rsid w:val="008D2C67"/>
    <w:rsid w:val="008D2D34"/>
    <w:rsid w:val="008D3095"/>
    <w:rsid w:val="008D35B3"/>
    <w:rsid w:val="008D3CA9"/>
    <w:rsid w:val="008D4AB0"/>
    <w:rsid w:val="008D4E74"/>
    <w:rsid w:val="008D521A"/>
    <w:rsid w:val="008D57B1"/>
    <w:rsid w:val="008D623D"/>
    <w:rsid w:val="008E0D68"/>
    <w:rsid w:val="008E32A5"/>
    <w:rsid w:val="008E34F3"/>
    <w:rsid w:val="008E3E58"/>
    <w:rsid w:val="008E40A6"/>
    <w:rsid w:val="008E4609"/>
    <w:rsid w:val="008E55EB"/>
    <w:rsid w:val="008E5957"/>
    <w:rsid w:val="008E6A6D"/>
    <w:rsid w:val="008E7C64"/>
    <w:rsid w:val="008F01C5"/>
    <w:rsid w:val="008F2B79"/>
    <w:rsid w:val="008F323A"/>
    <w:rsid w:val="008F37AA"/>
    <w:rsid w:val="008F38C3"/>
    <w:rsid w:val="008F3E3B"/>
    <w:rsid w:val="008F557F"/>
    <w:rsid w:val="008F594D"/>
    <w:rsid w:val="008F6FF4"/>
    <w:rsid w:val="008F72A3"/>
    <w:rsid w:val="008F7751"/>
    <w:rsid w:val="008F77BF"/>
    <w:rsid w:val="008F78FA"/>
    <w:rsid w:val="00900B18"/>
    <w:rsid w:val="00900B3B"/>
    <w:rsid w:val="00901C63"/>
    <w:rsid w:val="0090207C"/>
    <w:rsid w:val="00902498"/>
    <w:rsid w:val="00902869"/>
    <w:rsid w:val="00903072"/>
    <w:rsid w:val="0090426E"/>
    <w:rsid w:val="00904D22"/>
    <w:rsid w:val="00905A7C"/>
    <w:rsid w:val="00905D22"/>
    <w:rsid w:val="00906275"/>
    <w:rsid w:val="009062B0"/>
    <w:rsid w:val="00906DAD"/>
    <w:rsid w:val="0090713E"/>
    <w:rsid w:val="009109B0"/>
    <w:rsid w:val="00910ED4"/>
    <w:rsid w:val="00912BC1"/>
    <w:rsid w:val="00913468"/>
    <w:rsid w:val="009141BB"/>
    <w:rsid w:val="00914C5C"/>
    <w:rsid w:val="009155A5"/>
    <w:rsid w:val="00921137"/>
    <w:rsid w:val="0092161C"/>
    <w:rsid w:val="0092183B"/>
    <w:rsid w:val="0092383D"/>
    <w:rsid w:val="00923A44"/>
    <w:rsid w:val="00923CDD"/>
    <w:rsid w:val="00925297"/>
    <w:rsid w:val="009256CE"/>
    <w:rsid w:val="00926D7E"/>
    <w:rsid w:val="00926DDB"/>
    <w:rsid w:val="00926EB2"/>
    <w:rsid w:val="00927759"/>
    <w:rsid w:val="00931660"/>
    <w:rsid w:val="00931D66"/>
    <w:rsid w:val="00933822"/>
    <w:rsid w:val="00933B34"/>
    <w:rsid w:val="00934A05"/>
    <w:rsid w:val="00934A33"/>
    <w:rsid w:val="009365BA"/>
    <w:rsid w:val="009378FB"/>
    <w:rsid w:val="009401B0"/>
    <w:rsid w:val="00942C98"/>
    <w:rsid w:val="00944093"/>
    <w:rsid w:val="00944D3D"/>
    <w:rsid w:val="009454BC"/>
    <w:rsid w:val="00945692"/>
    <w:rsid w:val="00945C87"/>
    <w:rsid w:val="00945F64"/>
    <w:rsid w:val="00946EE3"/>
    <w:rsid w:val="00947A81"/>
    <w:rsid w:val="0095081D"/>
    <w:rsid w:val="009522C3"/>
    <w:rsid w:val="009528DD"/>
    <w:rsid w:val="0095324E"/>
    <w:rsid w:val="0095352C"/>
    <w:rsid w:val="00953571"/>
    <w:rsid w:val="00953913"/>
    <w:rsid w:val="009553EA"/>
    <w:rsid w:val="00955C46"/>
    <w:rsid w:val="0095678A"/>
    <w:rsid w:val="009572D3"/>
    <w:rsid w:val="00960960"/>
    <w:rsid w:val="009618DE"/>
    <w:rsid w:val="009649E8"/>
    <w:rsid w:val="00964F04"/>
    <w:rsid w:val="00967965"/>
    <w:rsid w:val="00970EE1"/>
    <w:rsid w:val="00970F22"/>
    <w:rsid w:val="00972087"/>
    <w:rsid w:val="0097291A"/>
    <w:rsid w:val="00972C8D"/>
    <w:rsid w:val="00972CCC"/>
    <w:rsid w:val="00973135"/>
    <w:rsid w:val="009733D1"/>
    <w:rsid w:val="009733E5"/>
    <w:rsid w:val="00974313"/>
    <w:rsid w:val="00975A54"/>
    <w:rsid w:val="009779AA"/>
    <w:rsid w:val="009822AC"/>
    <w:rsid w:val="009823DD"/>
    <w:rsid w:val="0098355C"/>
    <w:rsid w:val="00990C8D"/>
    <w:rsid w:val="00991D1F"/>
    <w:rsid w:val="00992161"/>
    <w:rsid w:val="00992AB4"/>
    <w:rsid w:val="009935C1"/>
    <w:rsid w:val="00993D12"/>
    <w:rsid w:val="0099665F"/>
    <w:rsid w:val="00996F00"/>
    <w:rsid w:val="0099758D"/>
    <w:rsid w:val="009A0128"/>
    <w:rsid w:val="009A0E0E"/>
    <w:rsid w:val="009A2562"/>
    <w:rsid w:val="009A36CB"/>
    <w:rsid w:val="009A3F41"/>
    <w:rsid w:val="009A6C60"/>
    <w:rsid w:val="009A6F0A"/>
    <w:rsid w:val="009A7124"/>
    <w:rsid w:val="009A75F8"/>
    <w:rsid w:val="009A7A92"/>
    <w:rsid w:val="009A7EBB"/>
    <w:rsid w:val="009B2C78"/>
    <w:rsid w:val="009B3320"/>
    <w:rsid w:val="009B36F7"/>
    <w:rsid w:val="009B506A"/>
    <w:rsid w:val="009B69DF"/>
    <w:rsid w:val="009B70AF"/>
    <w:rsid w:val="009C10E1"/>
    <w:rsid w:val="009C126A"/>
    <w:rsid w:val="009C1E8B"/>
    <w:rsid w:val="009C2179"/>
    <w:rsid w:val="009C2CB3"/>
    <w:rsid w:val="009C4101"/>
    <w:rsid w:val="009C4D1E"/>
    <w:rsid w:val="009C54B5"/>
    <w:rsid w:val="009C57E5"/>
    <w:rsid w:val="009C761E"/>
    <w:rsid w:val="009D3DB3"/>
    <w:rsid w:val="009D5084"/>
    <w:rsid w:val="009D527B"/>
    <w:rsid w:val="009D6833"/>
    <w:rsid w:val="009D6B79"/>
    <w:rsid w:val="009D6DB8"/>
    <w:rsid w:val="009D7A50"/>
    <w:rsid w:val="009E0748"/>
    <w:rsid w:val="009E085F"/>
    <w:rsid w:val="009E0FD2"/>
    <w:rsid w:val="009E142C"/>
    <w:rsid w:val="009E2EC8"/>
    <w:rsid w:val="009E3411"/>
    <w:rsid w:val="009E4CD5"/>
    <w:rsid w:val="009E5FEF"/>
    <w:rsid w:val="009E72A9"/>
    <w:rsid w:val="009E7741"/>
    <w:rsid w:val="009F20BA"/>
    <w:rsid w:val="009F3BDE"/>
    <w:rsid w:val="009F4DE3"/>
    <w:rsid w:val="009F648F"/>
    <w:rsid w:val="009F7E62"/>
    <w:rsid w:val="00A02370"/>
    <w:rsid w:val="00A02A15"/>
    <w:rsid w:val="00A03D04"/>
    <w:rsid w:val="00A041A1"/>
    <w:rsid w:val="00A04664"/>
    <w:rsid w:val="00A054E1"/>
    <w:rsid w:val="00A12869"/>
    <w:rsid w:val="00A13BA9"/>
    <w:rsid w:val="00A14E6C"/>
    <w:rsid w:val="00A14F64"/>
    <w:rsid w:val="00A15312"/>
    <w:rsid w:val="00A15B4D"/>
    <w:rsid w:val="00A20476"/>
    <w:rsid w:val="00A20F26"/>
    <w:rsid w:val="00A22FE0"/>
    <w:rsid w:val="00A25B3B"/>
    <w:rsid w:val="00A26A90"/>
    <w:rsid w:val="00A26D09"/>
    <w:rsid w:val="00A2746E"/>
    <w:rsid w:val="00A31269"/>
    <w:rsid w:val="00A31D64"/>
    <w:rsid w:val="00A35ED0"/>
    <w:rsid w:val="00A379F0"/>
    <w:rsid w:val="00A37F1D"/>
    <w:rsid w:val="00A402D5"/>
    <w:rsid w:val="00A41202"/>
    <w:rsid w:val="00A43423"/>
    <w:rsid w:val="00A436A9"/>
    <w:rsid w:val="00A438BF"/>
    <w:rsid w:val="00A43B7F"/>
    <w:rsid w:val="00A45256"/>
    <w:rsid w:val="00A45CFE"/>
    <w:rsid w:val="00A46AFC"/>
    <w:rsid w:val="00A513D2"/>
    <w:rsid w:val="00A53426"/>
    <w:rsid w:val="00A53FDC"/>
    <w:rsid w:val="00A54D4C"/>
    <w:rsid w:val="00A55C33"/>
    <w:rsid w:val="00A55EFB"/>
    <w:rsid w:val="00A566F8"/>
    <w:rsid w:val="00A577BE"/>
    <w:rsid w:val="00A5796F"/>
    <w:rsid w:val="00A604D2"/>
    <w:rsid w:val="00A61CBB"/>
    <w:rsid w:val="00A63773"/>
    <w:rsid w:val="00A65611"/>
    <w:rsid w:val="00A65DCD"/>
    <w:rsid w:val="00A65F85"/>
    <w:rsid w:val="00A66E84"/>
    <w:rsid w:val="00A6701F"/>
    <w:rsid w:val="00A6776E"/>
    <w:rsid w:val="00A678D5"/>
    <w:rsid w:val="00A67F8C"/>
    <w:rsid w:val="00A7040E"/>
    <w:rsid w:val="00A71073"/>
    <w:rsid w:val="00A71884"/>
    <w:rsid w:val="00A7300A"/>
    <w:rsid w:val="00A7336D"/>
    <w:rsid w:val="00A7522B"/>
    <w:rsid w:val="00A754C7"/>
    <w:rsid w:val="00A75F75"/>
    <w:rsid w:val="00A765B2"/>
    <w:rsid w:val="00A76F60"/>
    <w:rsid w:val="00A7740B"/>
    <w:rsid w:val="00A778A4"/>
    <w:rsid w:val="00A80207"/>
    <w:rsid w:val="00A80D8F"/>
    <w:rsid w:val="00A829C7"/>
    <w:rsid w:val="00A83794"/>
    <w:rsid w:val="00A84168"/>
    <w:rsid w:val="00A841AF"/>
    <w:rsid w:val="00A869CA"/>
    <w:rsid w:val="00A9080A"/>
    <w:rsid w:val="00A90A8D"/>
    <w:rsid w:val="00A9109E"/>
    <w:rsid w:val="00A92496"/>
    <w:rsid w:val="00A92B99"/>
    <w:rsid w:val="00A9327F"/>
    <w:rsid w:val="00A93EFF"/>
    <w:rsid w:val="00A948FF"/>
    <w:rsid w:val="00A94A83"/>
    <w:rsid w:val="00A96627"/>
    <w:rsid w:val="00AA0592"/>
    <w:rsid w:val="00AA0E64"/>
    <w:rsid w:val="00AA123A"/>
    <w:rsid w:val="00AA1CE2"/>
    <w:rsid w:val="00AA2671"/>
    <w:rsid w:val="00AA2D4C"/>
    <w:rsid w:val="00AA59EE"/>
    <w:rsid w:val="00AA6800"/>
    <w:rsid w:val="00AA722F"/>
    <w:rsid w:val="00AA7EDA"/>
    <w:rsid w:val="00AB1F8E"/>
    <w:rsid w:val="00AB200D"/>
    <w:rsid w:val="00AB212A"/>
    <w:rsid w:val="00AB2510"/>
    <w:rsid w:val="00AB3618"/>
    <w:rsid w:val="00AB3AA6"/>
    <w:rsid w:val="00AB4808"/>
    <w:rsid w:val="00AB5930"/>
    <w:rsid w:val="00AB5E6D"/>
    <w:rsid w:val="00AB7645"/>
    <w:rsid w:val="00AB7BB3"/>
    <w:rsid w:val="00AC0CE3"/>
    <w:rsid w:val="00AC12A6"/>
    <w:rsid w:val="00AC46DB"/>
    <w:rsid w:val="00AC5563"/>
    <w:rsid w:val="00AC695D"/>
    <w:rsid w:val="00AC7330"/>
    <w:rsid w:val="00AD01FE"/>
    <w:rsid w:val="00AD0413"/>
    <w:rsid w:val="00AD06A2"/>
    <w:rsid w:val="00AD1A97"/>
    <w:rsid w:val="00AD20F1"/>
    <w:rsid w:val="00AD22BA"/>
    <w:rsid w:val="00AD2BF3"/>
    <w:rsid w:val="00AD39A2"/>
    <w:rsid w:val="00AD4A1B"/>
    <w:rsid w:val="00AD51BC"/>
    <w:rsid w:val="00AD5DC2"/>
    <w:rsid w:val="00AD6460"/>
    <w:rsid w:val="00AD6522"/>
    <w:rsid w:val="00AD7472"/>
    <w:rsid w:val="00AD76B4"/>
    <w:rsid w:val="00AE0B1D"/>
    <w:rsid w:val="00AE1A7B"/>
    <w:rsid w:val="00AE321E"/>
    <w:rsid w:val="00AE4A2F"/>
    <w:rsid w:val="00AE4BB0"/>
    <w:rsid w:val="00AE5E30"/>
    <w:rsid w:val="00AE5E59"/>
    <w:rsid w:val="00AE6A3B"/>
    <w:rsid w:val="00AF0299"/>
    <w:rsid w:val="00AF0EC7"/>
    <w:rsid w:val="00AF128C"/>
    <w:rsid w:val="00AF18C8"/>
    <w:rsid w:val="00AF2156"/>
    <w:rsid w:val="00AF270A"/>
    <w:rsid w:val="00AF4B53"/>
    <w:rsid w:val="00AF505D"/>
    <w:rsid w:val="00AF7715"/>
    <w:rsid w:val="00B004C4"/>
    <w:rsid w:val="00B02FE2"/>
    <w:rsid w:val="00B03D78"/>
    <w:rsid w:val="00B05272"/>
    <w:rsid w:val="00B05610"/>
    <w:rsid w:val="00B05A28"/>
    <w:rsid w:val="00B10744"/>
    <w:rsid w:val="00B10EFE"/>
    <w:rsid w:val="00B111A3"/>
    <w:rsid w:val="00B11D58"/>
    <w:rsid w:val="00B12A04"/>
    <w:rsid w:val="00B13E22"/>
    <w:rsid w:val="00B13ED5"/>
    <w:rsid w:val="00B14136"/>
    <w:rsid w:val="00B1415B"/>
    <w:rsid w:val="00B151D8"/>
    <w:rsid w:val="00B15385"/>
    <w:rsid w:val="00B15465"/>
    <w:rsid w:val="00B15E5E"/>
    <w:rsid w:val="00B17381"/>
    <w:rsid w:val="00B177F6"/>
    <w:rsid w:val="00B17A35"/>
    <w:rsid w:val="00B21273"/>
    <w:rsid w:val="00B21924"/>
    <w:rsid w:val="00B2235B"/>
    <w:rsid w:val="00B2426A"/>
    <w:rsid w:val="00B2433F"/>
    <w:rsid w:val="00B24DDC"/>
    <w:rsid w:val="00B25078"/>
    <w:rsid w:val="00B253EE"/>
    <w:rsid w:val="00B25E3F"/>
    <w:rsid w:val="00B27C67"/>
    <w:rsid w:val="00B30DC7"/>
    <w:rsid w:val="00B32990"/>
    <w:rsid w:val="00B32B90"/>
    <w:rsid w:val="00B3425A"/>
    <w:rsid w:val="00B34D90"/>
    <w:rsid w:val="00B34E2E"/>
    <w:rsid w:val="00B35F20"/>
    <w:rsid w:val="00B36609"/>
    <w:rsid w:val="00B36F17"/>
    <w:rsid w:val="00B370D9"/>
    <w:rsid w:val="00B40423"/>
    <w:rsid w:val="00B43049"/>
    <w:rsid w:val="00B45241"/>
    <w:rsid w:val="00B455A9"/>
    <w:rsid w:val="00B46602"/>
    <w:rsid w:val="00B47494"/>
    <w:rsid w:val="00B50912"/>
    <w:rsid w:val="00B5231B"/>
    <w:rsid w:val="00B523BF"/>
    <w:rsid w:val="00B52B85"/>
    <w:rsid w:val="00B5308E"/>
    <w:rsid w:val="00B55875"/>
    <w:rsid w:val="00B56F0E"/>
    <w:rsid w:val="00B57881"/>
    <w:rsid w:val="00B57D4D"/>
    <w:rsid w:val="00B60047"/>
    <w:rsid w:val="00B60A8B"/>
    <w:rsid w:val="00B62186"/>
    <w:rsid w:val="00B657D8"/>
    <w:rsid w:val="00B662E7"/>
    <w:rsid w:val="00B66540"/>
    <w:rsid w:val="00B665E6"/>
    <w:rsid w:val="00B669E3"/>
    <w:rsid w:val="00B67B9E"/>
    <w:rsid w:val="00B70651"/>
    <w:rsid w:val="00B71338"/>
    <w:rsid w:val="00B71444"/>
    <w:rsid w:val="00B7161C"/>
    <w:rsid w:val="00B72004"/>
    <w:rsid w:val="00B72774"/>
    <w:rsid w:val="00B72959"/>
    <w:rsid w:val="00B74893"/>
    <w:rsid w:val="00B749DB"/>
    <w:rsid w:val="00B752DC"/>
    <w:rsid w:val="00B75F1D"/>
    <w:rsid w:val="00B76096"/>
    <w:rsid w:val="00B80981"/>
    <w:rsid w:val="00B80E34"/>
    <w:rsid w:val="00B8191F"/>
    <w:rsid w:val="00B82477"/>
    <w:rsid w:val="00B82BB6"/>
    <w:rsid w:val="00B82FB1"/>
    <w:rsid w:val="00B83DF7"/>
    <w:rsid w:val="00B84EBC"/>
    <w:rsid w:val="00B85140"/>
    <w:rsid w:val="00B86CD6"/>
    <w:rsid w:val="00B87148"/>
    <w:rsid w:val="00B87D1C"/>
    <w:rsid w:val="00B908D7"/>
    <w:rsid w:val="00B90A14"/>
    <w:rsid w:val="00B91402"/>
    <w:rsid w:val="00B918F5"/>
    <w:rsid w:val="00B91FA1"/>
    <w:rsid w:val="00B9228A"/>
    <w:rsid w:val="00B92704"/>
    <w:rsid w:val="00B931FC"/>
    <w:rsid w:val="00B9424B"/>
    <w:rsid w:val="00B9668A"/>
    <w:rsid w:val="00B97805"/>
    <w:rsid w:val="00B979B7"/>
    <w:rsid w:val="00BA0B06"/>
    <w:rsid w:val="00BA0B53"/>
    <w:rsid w:val="00BA1272"/>
    <w:rsid w:val="00BA1E13"/>
    <w:rsid w:val="00BA3845"/>
    <w:rsid w:val="00BA6861"/>
    <w:rsid w:val="00BA69C2"/>
    <w:rsid w:val="00BA6EF8"/>
    <w:rsid w:val="00BA7C6F"/>
    <w:rsid w:val="00BB1523"/>
    <w:rsid w:val="00BB2EB4"/>
    <w:rsid w:val="00BB3D51"/>
    <w:rsid w:val="00BB4B1A"/>
    <w:rsid w:val="00BB507D"/>
    <w:rsid w:val="00BB5CDC"/>
    <w:rsid w:val="00BB6084"/>
    <w:rsid w:val="00BB69A7"/>
    <w:rsid w:val="00BC048C"/>
    <w:rsid w:val="00BC0860"/>
    <w:rsid w:val="00BC0995"/>
    <w:rsid w:val="00BC19B3"/>
    <w:rsid w:val="00BC26F4"/>
    <w:rsid w:val="00BC518A"/>
    <w:rsid w:val="00BC5656"/>
    <w:rsid w:val="00BC650E"/>
    <w:rsid w:val="00BC7B93"/>
    <w:rsid w:val="00BC7D41"/>
    <w:rsid w:val="00BD0099"/>
    <w:rsid w:val="00BD2C8C"/>
    <w:rsid w:val="00BD3198"/>
    <w:rsid w:val="00BD3B53"/>
    <w:rsid w:val="00BD42FC"/>
    <w:rsid w:val="00BD464B"/>
    <w:rsid w:val="00BD776C"/>
    <w:rsid w:val="00BD7C55"/>
    <w:rsid w:val="00BD7F84"/>
    <w:rsid w:val="00BE0828"/>
    <w:rsid w:val="00BE0F6C"/>
    <w:rsid w:val="00BE1813"/>
    <w:rsid w:val="00BE1A47"/>
    <w:rsid w:val="00BE2E08"/>
    <w:rsid w:val="00BE4B92"/>
    <w:rsid w:val="00BE4E79"/>
    <w:rsid w:val="00BE7E5F"/>
    <w:rsid w:val="00BF0C0B"/>
    <w:rsid w:val="00BF189F"/>
    <w:rsid w:val="00BF214D"/>
    <w:rsid w:val="00BF243C"/>
    <w:rsid w:val="00BF266B"/>
    <w:rsid w:val="00BF2D64"/>
    <w:rsid w:val="00BF3595"/>
    <w:rsid w:val="00BF3C2A"/>
    <w:rsid w:val="00BF41AD"/>
    <w:rsid w:val="00BF7EA7"/>
    <w:rsid w:val="00C0036C"/>
    <w:rsid w:val="00C0176B"/>
    <w:rsid w:val="00C01899"/>
    <w:rsid w:val="00C01E6E"/>
    <w:rsid w:val="00C02087"/>
    <w:rsid w:val="00C0244B"/>
    <w:rsid w:val="00C02618"/>
    <w:rsid w:val="00C02AD3"/>
    <w:rsid w:val="00C02B79"/>
    <w:rsid w:val="00C032D6"/>
    <w:rsid w:val="00C053E4"/>
    <w:rsid w:val="00C073B2"/>
    <w:rsid w:val="00C101F2"/>
    <w:rsid w:val="00C107F9"/>
    <w:rsid w:val="00C10BC3"/>
    <w:rsid w:val="00C10E12"/>
    <w:rsid w:val="00C118FB"/>
    <w:rsid w:val="00C12011"/>
    <w:rsid w:val="00C1300B"/>
    <w:rsid w:val="00C140C8"/>
    <w:rsid w:val="00C15D93"/>
    <w:rsid w:val="00C166A3"/>
    <w:rsid w:val="00C173B3"/>
    <w:rsid w:val="00C21161"/>
    <w:rsid w:val="00C23B86"/>
    <w:rsid w:val="00C26053"/>
    <w:rsid w:val="00C26390"/>
    <w:rsid w:val="00C27000"/>
    <w:rsid w:val="00C27414"/>
    <w:rsid w:val="00C279F3"/>
    <w:rsid w:val="00C27BA0"/>
    <w:rsid w:val="00C3311A"/>
    <w:rsid w:val="00C33AC1"/>
    <w:rsid w:val="00C34373"/>
    <w:rsid w:val="00C360C3"/>
    <w:rsid w:val="00C363B9"/>
    <w:rsid w:val="00C366B8"/>
    <w:rsid w:val="00C36D4E"/>
    <w:rsid w:val="00C36DE7"/>
    <w:rsid w:val="00C373AF"/>
    <w:rsid w:val="00C37B2E"/>
    <w:rsid w:val="00C40082"/>
    <w:rsid w:val="00C40BC5"/>
    <w:rsid w:val="00C426B3"/>
    <w:rsid w:val="00C427EB"/>
    <w:rsid w:val="00C42A28"/>
    <w:rsid w:val="00C42B2B"/>
    <w:rsid w:val="00C42FAF"/>
    <w:rsid w:val="00C4350C"/>
    <w:rsid w:val="00C43DAE"/>
    <w:rsid w:val="00C5257B"/>
    <w:rsid w:val="00C53AFC"/>
    <w:rsid w:val="00C54833"/>
    <w:rsid w:val="00C55558"/>
    <w:rsid w:val="00C55EA3"/>
    <w:rsid w:val="00C55F97"/>
    <w:rsid w:val="00C56521"/>
    <w:rsid w:val="00C568F0"/>
    <w:rsid w:val="00C5759C"/>
    <w:rsid w:val="00C6045C"/>
    <w:rsid w:val="00C610F8"/>
    <w:rsid w:val="00C61BD9"/>
    <w:rsid w:val="00C61D97"/>
    <w:rsid w:val="00C62732"/>
    <w:rsid w:val="00C62A40"/>
    <w:rsid w:val="00C63387"/>
    <w:rsid w:val="00C633F5"/>
    <w:rsid w:val="00C63FFB"/>
    <w:rsid w:val="00C646A9"/>
    <w:rsid w:val="00C65600"/>
    <w:rsid w:val="00C67B80"/>
    <w:rsid w:val="00C67BAA"/>
    <w:rsid w:val="00C71C7E"/>
    <w:rsid w:val="00C72003"/>
    <w:rsid w:val="00C722F7"/>
    <w:rsid w:val="00C73CB6"/>
    <w:rsid w:val="00C74572"/>
    <w:rsid w:val="00C74BFA"/>
    <w:rsid w:val="00C753BA"/>
    <w:rsid w:val="00C75460"/>
    <w:rsid w:val="00C7578C"/>
    <w:rsid w:val="00C75CF3"/>
    <w:rsid w:val="00C760ED"/>
    <w:rsid w:val="00C76385"/>
    <w:rsid w:val="00C76842"/>
    <w:rsid w:val="00C80345"/>
    <w:rsid w:val="00C804E2"/>
    <w:rsid w:val="00C841AB"/>
    <w:rsid w:val="00C84AE5"/>
    <w:rsid w:val="00C86B60"/>
    <w:rsid w:val="00C86F97"/>
    <w:rsid w:val="00C901BE"/>
    <w:rsid w:val="00C912FE"/>
    <w:rsid w:val="00C91C86"/>
    <w:rsid w:val="00C91DEF"/>
    <w:rsid w:val="00C93300"/>
    <w:rsid w:val="00C94D45"/>
    <w:rsid w:val="00C95D32"/>
    <w:rsid w:val="00C96E23"/>
    <w:rsid w:val="00CA34EB"/>
    <w:rsid w:val="00CA5559"/>
    <w:rsid w:val="00CB0A2A"/>
    <w:rsid w:val="00CB166D"/>
    <w:rsid w:val="00CB1A88"/>
    <w:rsid w:val="00CB2163"/>
    <w:rsid w:val="00CB2CF2"/>
    <w:rsid w:val="00CB32E8"/>
    <w:rsid w:val="00CB3458"/>
    <w:rsid w:val="00CB4D8C"/>
    <w:rsid w:val="00CB6B6A"/>
    <w:rsid w:val="00CC2A69"/>
    <w:rsid w:val="00CC3CFB"/>
    <w:rsid w:val="00CC3D78"/>
    <w:rsid w:val="00CC3E64"/>
    <w:rsid w:val="00CC4F6F"/>
    <w:rsid w:val="00CC5AB4"/>
    <w:rsid w:val="00CC5F99"/>
    <w:rsid w:val="00CC7A3B"/>
    <w:rsid w:val="00CD0811"/>
    <w:rsid w:val="00CD1040"/>
    <w:rsid w:val="00CD2E27"/>
    <w:rsid w:val="00CD4108"/>
    <w:rsid w:val="00CD43F9"/>
    <w:rsid w:val="00CD55E7"/>
    <w:rsid w:val="00CD5870"/>
    <w:rsid w:val="00CD65AE"/>
    <w:rsid w:val="00CD7C05"/>
    <w:rsid w:val="00CE05BA"/>
    <w:rsid w:val="00CE07FF"/>
    <w:rsid w:val="00CE0AEB"/>
    <w:rsid w:val="00CE1E09"/>
    <w:rsid w:val="00CE1F98"/>
    <w:rsid w:val="00CE21E2"/>
    <w:rsid w:val="00CE5319"/>
    <w:rsid w:val="00CE7204"/>
    <w:rsid w:val="00CE76A4"/>
    <w:rsid w:val="00CF02EC"/>
    <w:rsid w:val="00CF17E0"/>
    <w:rsid w:val="00CF28AF"/>
    <w:rsid w:val="00CF3348"/>
    <w:rsid w:val="00CF3E91"/>
    <w:rsid w:val="00CF60A3"/>
    <w:rsid w:val="00D00100"/>
    <w:rsid w:val="00D0026A"/>
    <w:rsid w:val="00D0098C"/>
    <w:rsid w:val="00D00CA1"/>
    <w:rsid w:val="00D00CB4"/>
    <w:rsid w:val="00D00E6F"/>
    <w:rsid w:val="00D029ED"/>
    <w:rsid w:val="00D070BD"/>
    <w:rsid w:val="00D07949"/>
    <w:rsid w:val="00D10DC2"/>
    <w:rsid w:val="00D11FE0"/>
    <w:rsid w:val="00D138E1"/>
    <w:rsid w:val="00D14B75"/>
    <w:rsid w:val="00D14CDF"/>
    <w:rsid w:val="00D15246"/>
    <w:rsid w:val="00D15B14"/>
    <w:rsid w:val="00D16BBD"/>
    <w:rsid w:val="00D202EC"/>
    <w:rsid w:val="00D20662"/>
    <w:rsid w:val="00D208E7"/>
    <w:rsid w:val="00D20C2A"/>
    <w:rsid w:val="00D20F71"/>
    <w:rsid w:val="00D226BE"/>
    <w:rsid w:val="00D23B39"/>
    <w:rsid w:val="00D23F3C"/>
    <w:rsid w:val="00D26299"/>
    <w:rsid w:val="00D27ECB"/>
    <w:rsid w:val="00D30D51"/>
    <w:rsid w:val="00D3155C"/>
    <w:rsid w:val="00D31C28"/>
    <w:rsid w:val="00D31E41"/>
    <w:rsid w:val="00D32DB0"/>
    <w:rsid w:val="00D33DA3"/>
    <w:rsid w:val="00D34692"/>
    <w:rsid w:val="00D34D7F"/>
    <w:rsid w:val="00D360C6"/>
    <w:rsid w:val="00D36E96"/>
    <w:rsid w:val="00D36F5C"/>
    <w:rsid w:val="00D44629"/>
    <w:rsid w:val="00D44C1A"/>
    <w:rsid w:val="00D46677"/>
    <w:rsid w:val="00D50B67"/>
    <w:rsid w:val="00D51CBA"/>
    <w:rsid w:val="00D52325"/>
    <w:rsid w:val="00D52A39"/>
    <w:rsid w:val="00D53929"/>
    <w:rsid w:val="00D546E4"/>
    <w:rsid w:val="00D54732"/>
    <w:rsid w:val="00D54F51"/>
    <w:rsid w:val="00D55F6A"/>
    <w:rsid w:val="00D56B27"/>
    <w:rsid w:val="00D575FD"/>
    <w:rsid w:val="00D57E06"/>
    <w:rsid w:val="00D60246"/>
    <w:rsid w:val="00D605F8"/>
    <w:rsid w:val="00D61474"/>
    <w:rsid w:val="00D61C12"/>
    <w:rsid w:val="00D61E19"/>
    <w:rsid w:val="00D62040"/>
    <w:rsid w:val="00D624B5"/>
    <w:rsid w:val="00D629B6"/>
    <w:rsid w:val="00D62F2D"/>
    <w:rsid w:val="00D63B2F"/>
    <w:rsid w:val="00D650BF"/>
    <w:rsid w:val="00D662DB"/>
    <w:rsid w:val="00D66814"/>
    <w:rsid w:val="00D71C24"/>
    <w:rsid w:val="00D7207B"/>
    <w:rsid w:val="00D721A8"/>
    <w:rsid w:val="00D7470C"/>
    <w:rsid w:val="00D74D85"/>
    <w:rsid w:val="00D76CA2"/>
    <w:rsid w:val="00D7702D"/>
    <w:rsid w:val="00D7774E"/>
    <w:rsid w:val="00D80997"/>
    <w:rsid w:val="00D80BF2"/>
    <w:rsid w:val="00D8236C"/>
    <w:rsid w:val="00D83B11"/>
    <w:rsid w:val="00D8488F"/>
    <w:rsid w:val="00D84CAE"/>
    <w:rsid w:val="00D9024F"/>
    <w:rsid w:val="00D91CE0"/>
    <w:rsid w:val="00D91DE8"/>
    <w:rsid w:val="00D94417"/>
    <w:rsid w:val="00D94901"/>
    <w:rsid w:val="00D9559A"/>
    <w:rsid w:val="00D959E7"/>
    <w:rsid w:val="00D97C35"/>
    <w:rsid w:val="00DA045F"/>
    <w:rsid w:val="00DA436C"/>
    <w:rsid w:val="00DA4C2C"/>
    <w:rsid w:val="00DA51CB"/>
    <w:rsid w:val="00DA5F41"/>
    <w:rsid w:val="00DA6457"/>
    <w:rsid w:val="00DA6DCC"/>
    <w:rsid w:val="00DA6E4C"/>
    <w:rsid w:val="00DA7707"/>
    <w:rsid w:val="00DB241E"/>
    <w:rsid w:val="00DB28F3"/>
    <w:rsid w:val="00DB2F38"/>
    <w:rsid w:val="00DB30FC"/>
    <w:rsid w:val="00DB4EC9"/>
    <w:rsid w:val="00DB515E"/>
    <w:rsid w:val="00DB565B"/>
    <w:rsid w:val="00DB6F2A"/>
    <w:rsid w:val="00DB726A"/>
    <w:rsid w:val="00DC18D2"/>
    <w:rsid w:val="00DC1C0E"/>
    <w:rsid w:val="00DC2226"/>
    <w:rsid w:val="00DC23F6"/>
    <w:rsid w:val="00DC2B66"/>
    <w:rsid w:val="00DC2E7E"/>
    <w:rsid w:val="00DC49C8"/>
    <w:rsid w:val="00DC5208"/>
    <w:rsid w:val="00DC5AAD"/>
    <w:rsid w:val="00DC6804"/>
    <w:rsid w:val="00DC6C20"/>
    <w:rsid w:val="00DC7061"/>
    <w:rsid w:val="00DC729B"/>
    <w:rsid w:val="00DD1D01"/>
    <w:rsid w:val="00DD1E79"/>
    <w:rsid w:val="00DD52CC"/>
    <w:rsid w:val="00DD655A"/>
    <w:rsid w:val="00DD68B8"/>
    <w:rsid w:val="00DD746D"/>
    <w:rsid w:val="00DE1770"/>
    <w:rsid w:val="00DE1F75"/>
    <w:rsid w:val="00DE3B79"/>
    <w:rsid w:val="00DE41D7"/>
    <w:rsid w:val="00DE42A0"/>
    <w:rsid w:val="00DE6F41"/>
    <w:rsid w:val="00DF1619"/>
    <w:rsid w:val="00DF1630"/>
    <w:rsid w:val="00DF25E9"/>
    <w:rsid w:val="00DF267B"/>
    <w:rsid w:val="00DF2A29"/>
    <w:rsid w:val="00DF2C3A"/>
    <w:rsid w:val="00DF345B"/>
    <w:rsid w:val="00DF4203"/>
    <w:rsid w:val="00DF4951"/>
    <w:rsid w:val="00DF5040"/>
    <w:rsid w:val="00E00074"/>
    <w:rsid w:val="00E0011A"/>
    <w:rsid w:val="00E0145B"/>
    <w:rsid w:val="00E039BD"/>
    <w:rsid w:val="00E03C12"/>
    <w:rsid w:val="00E04047"/>
    <w:rsid w:val="00E04565"/>
    <w:rsid w:val="00E056BB"/>
    <w:rsid w:val="00E05D54"/>
    <w:rsid w:val="00E0626B"/>
    <w:rsid w:val="00E066C5"/>
    <w:rsid w:val="00E06FFE"/>
    <w:rsid w:val="00E07C01"/>
    <w:rsid w:val="00E07EE9"/>
    <w:rsid w:val="00E1043E"/>
    <w:rsid w:val="00E12675"/>
    <w:rsid w:val="00E1318E"/>
    <w:rsid w:val="00E133EC"/>
    <w:rsid w:val="00E13A51"/>
    <w:rsid w:val="00E145CC"/>
    <w:rsid w:val="00E17F18"/>
    <w:rsid w:val="00E17F2E"/>
    <w:rsid w:val="00E17FF0"/>
    <w:rsid w:val="00E21A19"/>
    <w:rsid w:val="00E23E48"/>
    <w:rsid w:val="00E253F7"/>
    <w:rsid w:val="00E27418"/>
    <w:rsid w:val="00E309F1"/>
    <w:rsid w:val="00E30A53"/>
    <w:rsid w:val="00E31464"/>
    <w:rsid w:val="00E35847"/>
    <w:rsid w:val="00E36AF6"/>
    <w:rsid w:val="00E376E4"/>
    <w:rsid w:val="00E401E1"/>
    <w:rsid w:val="00E42EE7"/>
    <w:rsid w:val="00E4390F"/>
    <w:rsid w:val="00E44894"/>
    <w:rsid w:val="00E47003"/>
    <w:rsid w:val="00E476C1"/>
    <w:rsid w:val="00E507D2"/>
    <w:rsid w:val="00E50A26"/>
    <w:rsid w:val="00E51813"/>
    <w:rsid w:val="00E5216C"/>
    <w:rsid w:val="00E5378D"/>
    <w:rsid w:val="00E55211"/>
    <w:rsid w:val="00E557A8"/>
    <w:rsid w:val="00E56EA6"/>
    <w:rsid w:val="00E57554"/>
    <w:rsid w:val="00E57A03"/>
    <w:rsid w:val="00E605DE"/>
    <w:rsid w:val="00E61A83"/>
    <w:rsid w:val="00E621A6"/>
    <w:rsid w:val="00E62D4A"/>
    <w:rsid w:val="00E63850"/>
    <w:rsid w:val="00E658E3"/>
    <w:rsid w:val="00E67132"/>
    <w:rsid w:val="00E70851"/>
    <w:rsid w:val="00E729DB"/>
    <w:rsid w:val="00E73543"/>
    <w:rsid w:val="00E73750"/>
    <w:rsid w:val="00E73B82"/>
    <w:rsid w:val="00E73FB3"/>
    <w:rsid w:val="00E747D5"/>
    <w:rsid w:val="00E74BE8"/>
    <w:rsid w:val="00E7639B"/>
    <w:rsid w:val="00E80061"/>
    <w:rsid w:val="00E80760"/>
    <w:rsid w:val="00E8186B"/>
    <w:rsid w:val="00E81D17"/>
    <w:rsid w:val="00E833E5"/>
    <w:rsid w:val="00E83781"/>
    <w:rsid w:val="00E84322"/>
    <w:rsid w:val="00E84495"/>
    <w:rsid w:val="00E8562C"/>
    <w:rsid w:val="00E85908"/>
    <w:rsid w:val="00E86326"/>
    <w:rsid w:val="00E869B5"/>
    <w:rsid w:val="00E86FE3"/>
    <w:rsid w:val="00E871BD"/>
    <w:rsid w:val="00E87768"/>
    <w:rsid w:val="00E9088A"/>
    <w:rsid w:val="00E91F9E"/>
    <w:rsid w:val="00E92508"/>
    <w:rsid w:val="00E92ED1"/>
    <w:rsid w:val="00E9353E"/>
    <w:rsid w:val="00E93DB8"/>
    <w:rsid w:val="00E93F7F"/>
    <w:rsid w:val="00E93FCC"/>
    <w:rsid w:val="00E95459"/>
    <w:rsid w:val="00E95B8A"/>
    <w:rsid w:val="00E95C9C"/>
    <w:rsid w:val="00E96086"/>
    <w:rsid w:val="00E964AE"/>
    <w:rsid w:val="00E966FB"/>
    <w:rsid w:val="00E96E25"/>
    <w:rsid w:val="00E97524"/>
    <w:rsid w:val="00E976CF"/>
    <w:rsid w:val="00EA00C9"/>
    <w:rsid w:val="00EA0686"/>
    <w:rsid w:val="00EA0CDB"/>
    <w:rsid w:val="00EA1932"/>
    <w:rsid w:val="00EA3560"/>
    <w:rsid w:val="00EA4CA5"/>
    <w:rsid w:val="00EA74E4"/>
    <w:rsid w:val="00EB00BC"/>
    <w:rsid w:val="00EB089C"/>
    <w:rsid w:val="00EB1C26"/>
    <w:rsid w:val="00EB1F70"/>
    <w:rsid w:val="00EB39DB"/>
    <w:rsid w:val="00EB4403"/>
    <w:rsid w:val="00EB5517"/>
    <w:rsid w:val="00EB59AC"/>
    <w:rsid w:val="00EB5D86"/>
    <w:rsid w:val="00EB6350"/>
    <w:rsid w:val="00EB63B1"/>
    <w:rsid w:val="00EB65ED"/>
    <w:rsid w:val="00EB6AD9"/>
    <w:rsid w:val="00EB7862"/>
    <w:rsid w:val="00EC15F1"/>
    <w:rsid w:val="00EC2477"/>
    <w:rsid w:val="00EC2D17"/>
    <w:rsid w:val="00EC2EA9"/>
    <w:rsid w:val="00EC37CE"/>
    <w:rsid w:val="00EC3D02"/>
    <w:rsid w:val="00EC4264"/>
    <w:rsid w:val="00EC4C48"/>
    <w:rsid w:val="00EC5142"/>
    <w:rsid w:val="00ED061C"/>
    <w:rsid w:val="00ED16A9"/>
    <w:rsid w:val="00ED1AE2"/>
    <w:rsid w:val="00ED1B27"/>
    <w:rsid w:val="00ED5480"/>
    <w:rsid w:val="00ED59BD"/>
    <w:rsid w:val="00ED5D93"/>
    <w:rsid w:val="00ED623D"/>
    <w:rsid w:val="00ED67F2"/>
    <w:rsid w:val="00ED6887"/>
    <w:rsid w:val="00ED7BBC"/>
    <w:rsid w:val="00EE20E7"/>
    <w:rsid w:val="00EE6A15"/>
    <w:rsid w:val="00EE6C83"/>
    <w:rsid w:val="00EF0189"/>
    <w:rsid w:val="00EF1A65"/>
    <w:rsid w:val="00EF249D"/>
    <w:rsid w:val="00EF2D0D"/>
    <w:rsid w:val="00EF2FD6"/>
    <w:rsid w:val="00EF49DF"/>
    <w:rsid w:val="00EF5F3B"/>
    <w:rsid w:val="00EF623E"/>
    <w:rsid w:val="00EF670B"/>
    <w:rsid w:val="00EF6BF9"/>
    <w:rsid w:val="00EF7823"/>
    <w:rsid w:val="00F02FC5"/>
    <w:rsid w:val="00F05A2D"/>
    <w:rsid w:val="00F05FB6"/>
    <w:rsid w:val="00F06C3C"/>
    <w:rsid w:val="00F10050"/>
    <w:rsid w:val="00F11258"/>
    <w:rsid w:val="00F120A7"/>
    <w:rsid w:val="00F143F8"/>
    <w:rsid w:val="00F155A9"/>
    <w:rsid w:val="00F1579E"/>
    <w:rsid w:val="00F16A91"/>
    <w:rsid w:val="00F17795"/>
    <w:rsid w:val="00F17E04"/>
    <w:rsid w:val="00F20B86"/>
    <w:rsid w:val="00F21D20"/>
    <w:rsid w:val="00F24340"/>
    <w:rsid w:val="00F24E2A"/>
    <w:rsid w:val="00F2677A"/>
    <w:rsid w:val="00F27A03"/>
    <w:rsid w:val="00F304FC"/>
    <w:rsid w:val="00F30577"/>
    <w:rsid w:val="00F30DC0"/>
    <w:rsid w:val="00F31CA4"/>
    <w:rsid w:val="00F32097"/>
    <w:rsid w:val="00F3254D"/>
    <w:rsid w:val="00F32978"/>
    <w:rsid w:val="00F32EAE"/>
    <w:rsid w:val="00F32F4B"/>
    <w:rsid w:val="00F33137"/>
    <w:rsid w:val="00F346DE"/>
    <w:rsid w:val="00F3483A"/>
    <w:rsid w:val="00F35186"/>
    <w:rsid w:val="00F3710F"/>
    <w:rsid w:val="00F4020A"/>
    <w:rsid w:val="00F41CF0"/>
    <w:rsid w:val="00F42879"/>
    <w:rsid w:val="00F430FA"/>
    <w:rsid w:val="00F44BDF"/>
    <w:rsid w:val="00F45D42"/>
    <w:rsid w:val="00F46721"/>
    <w:rsid w:val="00F4676B"/>
    <w:rsid w:val="00F46DA0"/>
    <w:rsid w:val="00F47F92"/>
    <w:rsid w:val="00F5287B"/>
    <w:rsid w:val="00F533DF"/>
    <w:rsid w:val="00F546AD"/>
    <w:rsid w:val="00F54B44"/>
    <w:rsid w:val="00F54FB5"/>
    <w:rsid w:val="00F56D18"/>
    <w:rsid w:val="00F56ECF"/>
    <w:rsid w:val="00F57B19"/>
    <w:rsid w:val="00F64A41"/>
    <w:rsid w:val="00F67AC8"/>
    <w:rsid w:val="00F71FD6"/>
    <w:rsid w:val="00F72118"/>
    <w:rsid w:val="00F7247E"/>
    <w:rsid w:val="00F73408"/>
    <w:rsid w:val="00F740BE"/>
    <w:rsid w:val="00F74F4E"/>
    <w:rsid w:val="00F75659"/>
    <w:rsid w:val="00F75DC7"/>
    <w:rsid w:val="00F7704E"/>
    <w:rsid w:val="00F77391"/>
    <w:rsid w:val="00F777D5"/>
    <w:rsid w:val="00F82FC3"/>
    <w:rsid w:val="00F835C5"/>
    <w:rsid w:val="00F86E82"/>
    <w:rsid w:val="00F911CA"/>
    <w:rsid w:val="00F91970"/>
    <w:rsid w:val="00F91D6E"/>
    <w:rsid w:val="00F9203C"/>
    <w:rsid w:val="00F93594"/>
    <w:rsid w:val="00F947DD"/>
    <w:rsid w:val="00F96B9E"/>
    <w:rsid w:val="00F96E2F"/>
    <w:rsid w:val="00F97CA2"/>
    <w:rsid w:val="00FA0F43"/>
    <w:rsid w:val="00FA1079"/>
    <w:rsid w:val="00FA10FC"/>
    <w:rsid w:val="00FA11CB"/>
    <w:rsid w:val="00FA1441"/>
    <w:rsid w:val="00FA160B"/>
    <w:rsid w:val="00FA2CCF"/>
    <w:rsid w:val="00FA4851"/>
    <w:rsid w:val="00FB0278"/>
    <w:rsid w:val="00FB1ED8"/>
    <w:rsid w:val="00FB3018"/>
    <w:rsid w:val="00FB304B"/>
    <w:rsid w:val="00FB43EE"/>
    <w:rsid w:val="00FB4C46"/>
    <w:rsid w:val="00FB5754"/>
    <w:rsid w:val="00FB576C"/>
    <w:rsid w:val="00FB5E55"/>
    <w:rsid w:val="00FB6063"/>
    <w:rsid w:val="00FB7360"/>
    <w:rsid w:val="00FB7720"/>
    <w:rsid w:val="00FB7C53"/>
    <w:rsid w:val="00FC02BF"/>
    <w:rsid w:val="00FC242C"/>
    <w:rsid w:val="00FC6F46"/>
    <w:rsid w:val="00FD1780"/>
    <w:rsid w:val="00FD3953"/>
    <w:rsid w:val="00FD5549"/>
    <w:rsid w:val="00FD58E7"/>
    <w:rsid w:val="00FD5E5D"/>
    <w:rsid w:val="00FD60DD"/>
    <w:rsid w:val="00FE01B8"/>
    <w:rsid w:val="00FE06FB"/>
    <w:rsid w:val="00FE1947"/>
    <w:rsid w:val="00FE1A3E"/>
    <w:rsid w:val="00FE3BDB"/>
    <w:rsid w:val="00FE404E"/>
    <w:rsid w:val="00FE43A7"/>
    <w:rsid w:val="00FE4764"/>
    <w:rsid w:val="00FE518B"/>
    <w:rsid w:val="00FE5E6C"/>
    <w:rsid w:val="00FE623E"/>
    <w:rsid w:val="00FE69BD"/>
    <w:rsid w:val="00FE7C7F"/>
    <w:rsid w:val="00FF00A5"/>
    <w:rsid w:val="00FF0AE3"/>
    <w:rsid w:val="00FF0D9B"/>
    <w:rsid w:val="00FF129A"/>
    <w:rsid w:val="00FF1581"/>
    <w:rsid w:val="00FF1747"/>
    <w:rsid w:val="00FF1FD9"/>
    <w:rsid w:val="00FF3325"/>
    <w:rsid w:val="00FF4EB8"/>
    <w:rsid w:val="00FF572E"/>
    <w:rsid w:val="00FF59D1"/>
    <w:rsid w:val="00FF63BA"/>
    <w:rsid w:val="00FF6F37"/>
    <w:rsid w:val="00FF7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00a8d0,#008eb0,#1492e8,#1287d6,#117dc7,#c2e3fa"/>
    </o:shapedefaults>
    <o:shapelayout v:ext="edit">
      <o:idmap v:ext="edit" data="1"/>
    </o:shapelayout>
  </w:shapeDefaults>
  <w:decimalSymbol w:val="."/>
  <w:listSeparator w:val=","/>
  <w14:docId w14:val="78ABF4BD"/>
  <w15:docId w15:val="{1ED7872D-0095-4C67-838E-19BB9D9F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3B"/>
    <w:pPr>
      <w:spacing w:after="240"/>
    </w:pPr>
    <w:rPr>
      <w:sz w:val="22"/>
    </w:rPr>
  </w:style>
  <w:style w:type="paragraph" w:styleId="Heading1">
    <w:name w:val="heading 1"/>
    <w:basedOn w:val="Normal"/>
    <w:next w:val="BodyText"/>
    <w:link w:val="Heading1Char"/>
    <w:qFormat/>
    <w:rsid w:val="001F5D5A"/>
    <w:pPr>
      <w:keepNext/>
      <w:pageBreakBefore/>
      <w:numPr>
        <w:numId w:val="21"/>
      </w:numPr>
      <w:spacing w:after="720" w:line="280" w:lineRule="atLeast"/>
      <w:outlineLvl w:val="0"/>
    </w:pPr>
    <w:rPr>
      <w:rFonts w:ascii="Arial" w:hAnsi="Arial" w:cs="Arial"/>
      <w:b/>
      <w:kern w:val="28"/>
      <w:sz w:val="36"/>
      <w:szCs w:val="36"/>
    </w:rPr>
  </w:style>
  <w:style w:type="paragraph" w:styleId="Heading2">
    <w:name w:val="heading 2"/>
    <w:basedOn w:val="Normal"/>
    <w:next w:val="BodyText"/>
    <w:link w:val="Heading2Char"/>
    <w:uiPriority w:val="9"/>
    <w:qFormat/>
    <w:rsid w:val="00B36F17"/>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uiPriority w:val="9"/>
    <w:qFormat/>
    <w:rsid w:val="00B36F17"/>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uiPriority w:val="9"/>
    <w:qFormat/>
    <w:rsid w:val="00B36F17"/>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link w:val="Heading5Char"/>
    <w:uiPriority w:val="9"/>
    <w:qFormat/>
    <w:rsid w:val="00B36F17"/>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link w:val="Heading6Char"/>
    <w:uiPriority w:val="9"/>
    <w:unhideWhenUsed/>
    <w:qFormat/>
    <w:rsid w:val="00E70851"/>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link w:val="Heading7Char"/>
    <w:uiPriority w:val="9"/>
    <w:unhideWhenUsed/>
    <w:qFormat/>
    <w:rsid w:val="00E70851"/>
    <w:pPr>
      <w:spacing w:before="720" w:after="0" w:line="300" w:lineRule="atLeast"/>
      <w:outlineLvl w:val="6"/>
    </w:pPr>
    <w:rPr>
      <w:rFonts w:ascii="Arial" w:hAnsi="Arial" w:cs="Arial"/>
      <w:b/>
      <w:sz w:val="28"/>
      <w:szCs w:val="28"/>
    </w:rPr>
  </w:style>
  <w:style w:type="paragraph" w:styleId="Heading8">
    <w:name w:val="heading 8"/>
    <w:basedOn w:val="Normal"/>
    <w:next w:val="Normal"/>
    <w:link w:val="Heading8Char"/>
    <w:uiPriority w:val="9"/>
    <w:semiHidden/>
    <w:unhideWhenUsed/>
    <w:qFormat/>
    <w:rsid w:val="00953571"/>
    <w:pPr>
      <w:keepNext/>
      <w:keepLines/>
      <w:overflowPunct w:val="0"/>
      <w:autoSpaceDE w:val="0"/>
      <w:autoSpaceDN w:val="0"/>
      <w:adjustRightInd w:val="0"/>
      <w:spacing w:before="40" w:after="0"/>
      <w:ind w:left="1440" w:hanging="1440"/>
      <w:textAlignment w:val="baseline"/>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953571"/>
    <w:pPr>
      <w:keepNext/>
      <w:keepLines/>
      <w:overflowPunct w:val="0"/>
      <w:autoSpaceDE w:val="0"/>
      <w:autoSpaceDN w:val="0"/>
      <w:adjustRightInd w:val="0"/>
      <w:spacing w:before="40" w:after="0"/>
      <w:ind w:left="1584" w:hanging="1584"/>
      <w:textAlignment w:val="baseline"/>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78FB"/>
    <w:pPr>
      <w:numPr>
        <w:numId w:val="5"/>
      </w:numPr>
      <w:spacing w:before="200" w:after="0" w:line="300" w:lineRule="atLeast"/>
    </w:pPr>
    <w:rPr>
      <w:szCs w:val="22"/>
    </w:rPr>
  </w:style>
  <w:style w:type="paragraph" w:customStyle="1" w:styleId="sourcenotefullwidth">
    <w:name w:val="source note full width"/>
    <w:rsid w:val="00C42A28"/>
    <w:pPr>
      <w:spacing w:before="120"/>
    </w:pPr>
    <w:rPr>
      <w:rFonts w:ascii="Arial" w:hAnsi="Arial"/>
      <w:sz w:val="16"/>
      <w:szCs w:val="22"/>
    </w:rPr>
  </w:style>
  <w:style w:type="paragraph" w:styleId="Footer">
    <w:name w:val="footer"/>
    <w:basedOn w:val="Normal"/>
    <w:link w:val="FooterChar"/>
    <w:uiPriority w:val="99"/>
    <w:rsid w:val="00B36F17"/>
    <w:pPr>
      <w:tabs>
        <w:tab w:val="right" w:pos="9070"/>
      </w:tabs>
      <w:spacing w:after="0"/>
    </w:pPr>
    <w:rPr>
      <w:rFonts w:ascii="Arial" w:hAnsi="Arial"/>
      <w:sz w:val="16"/>
      <w:szCs w:val="16"/>
    </w:rPr>
  </w:style>
  <w:style w:type="character" w:styleId="PageNumber">
    <w:name w:val="page number"/>
    <w:basedOn w:val="DefaultParagraphFont"/>
    <w:rsid w:val="00B36F17"/>
    <w:rPr>
      <w:b/>
      <w:sz w:val="20"/>
    </w:rPr>
  </w:style>
  <w:style w:type="paragraph" w:styleId="Header">
    <w:name w:val="header"/>
    <w:basedOn w:val="Normal"/>
    <w:link w:val="HeaderChar"/>
    <w:rsid w:val="00B36F17"/>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B36F17"/>
    <w:pPr>
      <w:numPr>
        <w:numId w:val="2"/>
      </w:numPr>
      <w:tabs>
        <w:tab w:val="clear" w:pos="1418"/>
        <w:tab w:val="num" w:pos="2694"/>
      </w:tabs>
      <w:spacing w:before="100" w:after="0" w:line="300" w:lineRule="atLeast"/>
      <w:ind w:left="2693" w:hanging="425"/>
    </w:pPr>
    <w:rPr>
      <w:szCs w:val="22"/>
    </w:rPr>
  </w:style>
  <w:style w:type="paragraph" w:customStyle="1" w:styleId="figuretitleindented">
    <w:name w:val="figure title indented"/>
    <w:basedOn w:val="figuretitlefullwidth"/>
    <w:rsid w:val="00B36F17"/>
    <w:pPr>
      <w:ind w:left="3260"/>
    </w:pPr>
  </w:style>
  <w:style w:type="paragraph" w:customStyle="1" w:styleId="figuretitlefullwidth">
    <w:name w:val="figure title full width"/>
    <w:basedOn w:val="tabletitlefullwidth"/>
    <w:next w:val="figuretext"/>
    <w:rsid w:val="00B36F17"/>
    <w:rPr>
      <w:szCs w:val="22"/>
    </w:rPr>
  </w:style>
  <w:style w:type="paragraph" w:customStyle="1" w:styleId="tabletitlefullwidth">
    <w:name w:val="table title full width"/>
    <w:basedOn w:val="Normal"/>
    <w:rsid w:val="00B36F17"/>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B36F17"/>
    <w:pPr>
      <w:widowControl w:val="0"/>
      <w:spacing w:after="0" w:line="240" w:lineRule="atLeast"/>
    </w:pPr>
    <w:rPr>
      <w:rFonts w:ascii="Arial" w:hAnsi="Arial" w:cs="Arial"/>
      <w:sz w:val="18"/>
      <w:szCs w:val="18"/>
    </w:rPr>
  </w:style>
  <w:style w:type="paragraph" w:customStyle="1" w:styleId="tbltext">
    <w:name w:val="tbl text"/>
    <w:basedOn w:val="Bodytextplain"/>
    <w:link w:val="tbltextChar"/>
    <w:rsid w:val="00B36F17"/>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B36F17"/>
    <w:pPr>
      <w:numPr>
        <w:numId w:val="0"/>
      </w:numPr>
      <w:ind w:left="2268"/>
    </w:pPr>
  </w:style>
  <w:style w:type="paragraph" w:customStyle="1" w:styleId="tablehead">
    <w:name w:val="table head"/>
    <w:basedOn w:val="Normal"/>
    <w:rsid w:val="00B36F17"/>
    <w:pPr>
      <w:keepNext/>
      <w:spacing w:before="120" w:after="0" w:line="240" w:lineRule="atLeast"/>
    </w:pPr>
    <w:rPr>
      <w:rFonts w:ascii="Arial" w:hAnsi="Arial" w:cs="Arial"/>
      <w:b/>
      <w:sz w:val="18"/>
      <w:szCs w:val="18"/>
    </w:rPr>
  </w:style>
  <w:style w:type="paragraph" w:styleId="ListBullet2">
    <w:name w:val="List Bullet 2"/>
    <w:basedOn w:val="Normal"/>
    <w:rsid w:val="008D4E74"/>
    <w:pPr>
      <w:numPr>
        <w:numId w:val="7"/>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B36F17"/>
    <w:rPr>
      <w:color w:val="0000FF"/>
      <w:u w:val="single"/>
    </w:rPr>
  </w:style>
  <w:style w:type="paragraph" w:customStyle="1" w:styleId="tablebullet">
    <w:name w:val="table bullet"/>
    <w:basedOn w:val="Normal"/>
    <w:rsid w:val="00B36F17"/>
    <w:pPr>
      <w:widowControl w:val="0"/>
      <w:numPr>
        <w:numId w:val="1"/>
      </w:numPr>
      <w:spacing w:before="60" w:after="0" w:line="240" w:lineRule="atLeast"/>
    </w:pPr>
    <w:rPr>
      <w:rFonts w:ascii="Arial" w:hAnsi="Arial" w:cs="Arial"/>
      <w:sz w:val="18"/>
      <w:szCs w:val="18"/>
    </w:rPr>
  </w:style>
  <w:style w:type="paragraph" w:styleId="FootnoteText">
    <w:name w:val="footnote text"/>
    <w:basedOn w:val="Normal"/>
    <w:link w:val="FootnoteTextChar"/>
    <w:uiPriority w:val="99"/>
    <w:semiHidden/>
    <w:rsid w:val="00B36F17"/>
    <w:pPr>
      <w:spacing w:after="0"/>
    </w:pPr>
    <w:rPr>
      <w:sz w:val="18"/>
    </w:rPr>
  </w:style>
  <w:style w:type="character" w:styleId="FootnoteReference">
    <w:name w:val="footnote reference"/>
    <w:basedOn w:val="DefaultParagraphFont"/>
    <w:uiPriority w:val="99"/>
    <w:semiHidden/>
    <w:rsid w:val="00B36F17"/>
    <w:rPr>
      <w:vertAlign w:val="superscript"/>
    </w:rPr>
  </w:style>
  <w:style w:type="paragraph" w:styleId="TOC1">
    <w:name w:val="toc 1"/>
    <w:basedOn w:val="Normal"/>
    <w:next w:val="Normal"/>
    <w:autoRedefine/>
    <w:uiPriority w:val="39"/>
    <w:rsid w:val="003A0F16"/>
    <w:pPr>
      <w:tabs>
        <w:tab w:val="left" w:pos="2694"/>
        <w:tab w:val="right" w:leader="dot" w:pos="9072"/>
      </w:tabs>
      <w:spacing w:before="80" w:after="0"/>
      <w:ind w:left="2693" w:right="284" w:hanging="425"/>
    </w:pPr>
    <w:rPr>
      <w:rFonts w:ascii="Arial" w:hAnsi="Arial" w:cs="Arial"/>
      <w:b/>
      <w:noProof/>
      <w:sz w:val="20"/>
    </w:rPr>
  </w:style>
  <w:style w:type="paragraph" w:styleId="TOC2">
    <w:name w:val="toc 2"/>
    <w:basedOn w:val="Normal"/>
    <w:next w:val="Normal"/>
    <w:autoRedefine/>
    <w:uiPriority w:val="39"/>
    <w:rsid w:val="00517DCC"/>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B36F17"/>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B36F17"/>
    <w:pPr>
      <w:tabs>
        <w:tab w:val="right" w:leader="dot" w:pos="8364"/>
      </w:tabs>
      <w:spacing w:after="0"/>
      <w:ind w:left="1134" w:right="565"/>
    </w:pPr>
    <w:rPr>
      <w:rFonts w:ascii="Arial" w:hAnsi="Arial" w:cs="Arial"/>
      <w:noProof/>
      <w:sz w:val="18"/>
      <w:szCs w:val="18"/>
      <w:lang w:val="en-ZW"/>
    </w:rPr>
  </w:style>
  <w:style w:type="paragraph" w:customStyle="1" w:styleId="tabletitleindented">
    <w:name w:val="table title indented"/>
    <w:basedOn w:val="tabletitlefullwidth"/>
    <w:rsid w:val="00B36F17"/>
    <w:pPr>
      <w:ind w:left="3260"/>
    </w:pPr>
  </w:style>
  <w:style w:type="paragraph" w:customStyle="1" w:styleId="tabledash">
    <w:name w:val="table dash"/>
    <w:basedOn w:val="tablebullet"/>
    <w:rsid w:val="00B36F17"/>
    <w:pPr>
      <w:numPr>
        <w:numId w:val="3"/>
      </w:numPr>
    </w:pPr>
  </w:style>
  <w:style w:type="paragraph" w:customStyle="1" w:styleId="Tablebody">
    <w:name w:val="Table body"/>
    <w:basedOn w:val="Normal"/>
    <w:semiHidden/>
    <w:rsid w:val="00B36F17"/>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B35F20"/>
    <w:pPr>
      <w:keepNext w:val="0"/>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1F5D5A"/>
    <w:pPr>
      <w:keepNext/>
      <w:pBdr>
        <w:top w:val="single" w:sz="6" w:space="1" w:color="0072CE"/>
        <w:left w:val="single" w:sz="6" w:space="4" w:color="0072CE"/>
        <w:bottom w:val="single" w:sz="6" w:space="3" w:color="0072CE"/>
        <w:right w:val="single" w:sz="6" w:space="4" w:color="0072CE"/>
      </w:pBdr>
      <w:shd w:val="clear" w:color="auto" w:fill="0072CE"/>
      <w:spacing w:before="240" w:after="0"/>
      <w:ind w:left="2381" w:right="5613"/>
    </w:pPr>
    <w:rPr>
      <w:rFonts w:ascii="Arial" w:hAnsi="Arial" w:cs="Arial"/>
      <w:b/>
      <w:color w:val="FFFFFF"/>
      <w:sz w:val="20"/>
    </w:rPr>
  </w:style>
  <w:style w:type="paragraph" w:customStyle="1" w:styleId="KPtext">
    <w:name w:val="KP text"/>
    <w:basedOn w:val="KPbold"/>
    <w:rsid w:val="00B36F17"/>
    <w:rPr>
      <w:b w:val="0"/>
    </w:rPr>
  </w:style>
  <w:style w:type="paragraph" w:customStyle="1" w:styleId="KPbullet">
    <w:name w:val="KP bullet"/>
    <w:basedOn w:val="KPtext"/>
    <w:rsid w:val="00B36F17"/>
    <w:pPr>
      <w:numPr>
        <w:numId w:val="4"/>
      </w:numPr>
      <w:tabs>
        <w:tab w:val="clear" w:pos="2807"/>
        <w:tab w:val="left" w:pos="2665"/>
      </w:tabs>
      <w:spacing w:before="100"/>
      <w:ind w:left="2665" w:hanging="284"/>
    </w:pPr>
  </w:style>
  <w:style w:type="paragraph" w:customStyle="1" w:styleId="Note">
    <w:name w:val="Note"/>
    <w:basedOn w:val="BodyText"/>
    <w:next w:val="BodyText"/>
    <w:rsid w:val="00B36F17"/>
    <w:pPr>
      <w:numPr>
        <w:numId w:val="0"/>
      </w:numPr>
      <w:spacing w:line="240" w:lineRule="atLeast"/>
      <w:ind w:left="2693"/>
    </w:pPr>
    <w:rPr>
      <w:sz w:val="18"/>
    </w:rPr>
  </w:style>
  <w:style w:type="paragraph" w:customStyle="1" w:styleId="subparaa">
    <w:name w:val="sub para (a)"/>
    <w:basedOn w:val="BodyText"/>
    <w:rsid w:val="00B36F17"/>
    <w:pPr>
      <w:numPr>
        <w:ilvl w:val="1"/>
      </w:numPr>
      <w:spacing w:before="100"/>
    </w:pPr>
  </w:style>
  <w:style w:type="paragraph" w:customStyle="1" w:styleId="Feedbackhead">
    <w:name w:val="Feedback head"/>
    <w:basedOn w:val="KPhead"/>
    <w:next w:val="Feedbackquestion"/>
    <w:rsid w:val="00C279F3"/>
    <w:pPr>
      <w:pBdr>
        <w:left w:val="single" w:sz="6" w:space="2" w:color="0072CE"/>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AD20F1"/>
    <w:pPr>
      <w:keepNext w:val="0"/>
      <w:keepLines/>
      <w:numPr>
        <w:ilvl w:val="4"/>
        <w:numId w:val="21"/>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AD20F1"/>
    <w:pPr>
      <w:numPr>
        <w:ilvl w:val="5"/>
      </w:numPr>
    </w:pPr>
  </w:style>
  <w:style w:type="paragraph" w:customStyle="1" w:styleId="subsubparai">
    <w:name w:val="sub sub para (i)"/>
    <w:basedOn w:val="subparaa"/>
    <w:rsid w:val="00B36F17"/>
    <w:pPr>
      <w:numPr>
        <w:ilvl w:val="2"/>
      </w:numPr>
    </w:pPr>
  </w:style>
  <w:style w:type="paragraph" w:customStyle="1" w:styleId="DescriptorRG">
    <w:name w:val="Descriptor RG"/>
    <w:basedOn w:val="Normal"/>
    <w:next w:val="Normal"/>
    <w:rsid w:val="00220093"/>
    <w:pPr>
      <w:pBdr>
        <w:top w:val="single" w:sz="4" w:space="4" w:color="0072CE"/>
        <w:left w:val="single" w:sz="4" w:space="4" w:color="0072CE"/>
        <w:bottom w:val="single" w:sz="4" w:space="4" w:color="0072CE"/>
        <w:right w:val="single" w:sz="4" w:space="4" w:color="0072CE"/>
      </w:pBdr>
      <w:shd w:val="clear" w:color="auto" w:fill="0072CE"/>
      <w:spacing w:before="960"/>
      <w:ind w:left="2268"/>
    </w:pPr>
    <w:rPr>
      <w:rFonts w:ascii="Arial" w:hAnsi="Arial" w:cs="Arial"/>
      <w:caps/>
      <w:color w:val="FFFFFF"/>
      <w:sz w:val="28"/>
      <w:szCs w:val="28"/>
    </w:rPr>
  </w:style>
  <w:style w:type="paragraph" w:customStyle="1" w:styleId="DescriptorCP">
    <w:name w:val="Descriptor CP"/>
    <w:basedOn w:val="DescriptorRG"/>
    <w:next w:val="Normal"/>
    <w:rsid w:val="007D398F"/>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B36F17"/>
    <w:pPr>
      <w:spacing w:line="260" w:lineRule="atLeast"/>
    </w:pPr>
    <w:rPr>
      <w:rFonts w:ascii="Arial" w:hAnsi="Arial" w:cs="Arial"/>
      <w:sz w:val="20"/>
      <w:szCs w:val="20"/>
    </w:rPr>
  </w:style>
  <w:style w:type="paragraph" w:customStyle="1" w:styleId="Frontbullet">
    <w:name w:val="Front bullet"/>
    <w:basedOn w:val="Fronttext"/>
    <w:rsid w:val="00B36F17"/>
    <w:pPr>
      <w:numPr>
        <w:ilvl w:val="5"/>
        <w:numId w:val="6"/>
      </w:numPr>
      <w:spacing w:before="120"/>
    </w:pPr>
  </w:style>
  <w:style w:type="paragraph" w:customStyle="1" w:styleId="Frontheading">
    <w:name w:val="Front heading"/>
    <w:basedOn w:val="Heading3"/>
    <w:next w:val="Fronttext"/>
    <w:rsid w:val="00103568"/>
    <w:pPr>
      <w:outlineLvl w:val="0"/>
    </w:pPr>
  </w:style>
  <w:style w:type="paragraph" w:customStyle="1" w:styleId="Blockquote">
    <w:name w:val="Block quote"/>
    <w:basedOn w:val="Bodytextplain"/>
    <w:rsid w:val="00B36F17"/>
    <w:pPr>
      <w:spacing w:before="100" w:line="240" w:lineRule="auto"/>
      <w:ind w:left="2693"/>
    </w:pPr>
    <w:rPr>
      <w:sz w:val="21"/>
      <w:szCs w:val="21"/>
    </w:rPr>
  </w:style>
  <w:style w:type="paragraph" w:customStyle="1" w:styleId="Proposalhead">
    <w:name w:val="Proposal head"/>
    <w:basedOn w:val="Bodytextplain"/>
    <w:next w:val="Proposaltext"/>
    <w:rsid w:val="00DE6F41"/>
    <w:pPr>
      <w:keepNext/>
      <w:pBdr>
        <w:top w:val="single" w:sz="18" w:space="1" w:color="0072CE"/>
        <w:left w:val="single" w:sz="4" w:space="4" w:color="0072CE"/>
      </w:pBdr>
      <w:spacing w:line="240" w:lineRule="auto"/>
      <w:ind w:right="5812"/>
    </w:pPr>
    <w:rPr>
      <w:rFonts w:ascii="Arial" w:hAnsi="Arial" w:cs="Arial"/>
      <w:b/>
    </w:rPr>
  </w:style>
  <w:style w:type="paragraph" w:customStyle="1" w:styleId="Proposaltext">
    <w:name w:val="Proposal text"/>
    <w:basedOn w:val="Bodytextplain"/>
    <w:rsid w:val="00AD22BA"/>
    <w:pPr>
      <w:numPr>
        <w:ilvl w:val="1"/>
        <w:numId w:val="21"/>
      </w:numPr>
      <w:spacing w:line="260" w:lineRule="atLeast"/>
    </w:pPr>
    <w:rPr>
      <w:rFonts w:ascii="Arial" w:hAnsi="Arial" w:cs="Arial"/>
      <w:sz w:val="20"/>
      <w:szCs w:val="20"/>
    </w:rPr>
  </w:style>
  <w:style w:type="paragraph" w:customStyle="1" w:styleId="Proposalsubpara">
    <w:name w:val="Proposal sub para"/>
    <w:basedOn w:val="Proposaltext"/>
    <w:rsid w:val="00B36F17"/>
    <w:pPr>
      <w:numPr>
        <w:ilvl w:val="2"/>
      </w:numPr>
      <w:spacing w:before="100"/>
    </w:pPr>
  </w:style>
  <w:style w:type="paragraph" w:customStyle="1" w:styleId="Proposalsubsubpara">
    <w:name w:val="Proposal sub sub para"/>
    <w:basedOn w:val="Proposaltext"/>
    <w:rsid w:val="00B36F17"/>
    <w:pPr>
      <w:numPr>
        <w:ilvl w:val="3"/>
      </w:numPr>
      <w:spacing w:before="100"/>
    </w:pPr>
  </w:style>
  <w:style w:type="paragraph" w:customStyle="1" w:styleId="Proposalnote">
    <w:name w:val="Proposal note"/>
    <w:basedOn w:val="Note"/>
    <w:rsid w:val="00B36F17"/>
    <w:pPr>
      <w:spacing w:before="100"/>
      <w:ind w:left="3119"/>
    </w:pPr>
    <w:rPr>
      <w:rFonts w:ascii="Arial" w:hAnsi="Arial" w:cs="Arial"/>
      <w:sz w:val="16"/>
      <w:szCs w:val="16"/>
    </w:rPr>
  </w:style>
  <w:style w:type="character" w:styleId="CommentReference">
    <w:name w:val="annotation reference"/>
    <w:basedOn w:val="DefaultParagraphFont"/>
    <w:semiHidden/>
    <w:rsid w:val="00B36F17"/>
    <w:rPr>
      <w:sz w:val="16"/>
      <w:szCs w:val="16"/>
    </w:rPr>
  </w:style>
  <w:style w:type="paragraph" w:styleId="CommentText">
    <w:name w:val="annotation text"/>
    <w:basedOn w:val="Normal"/>
    <w:link w:val="CommentTextChar1"/>
    <w:rsid w:val="00B36F17"/>
    <w:rPr>
      <w:sz w:val="20"/>
    </w:rPr>
  </w:style>
  <w:style w:type="paragraph" w:styleId="BalloonText">
    <w:name w:val="Balloon Text"/>
    <w:basedOn w:val="Normal"/>
    <w:link w:val="BalloonTextChar"/>
    <w:semiHidden/>
    <w:rsid w:val="00B36F17"/>
    <w:rPr>
      <w:rFonts w:ascii="Tahoma" w:hAnsi="Tahoma" w:cs="Tahoma"/>
      <w:sz w:val="16"/>
      <w:szCs w:val="16"/>
    </w:rPr>
  </w:style>
  <w:style w:type="paragraph" w:customStyle="1" w:styleId="boxbullet">
    <w:name w:val="box bullet"/>
    <w:basedOn w:val="Frontbullet"/>
    <w:rsid w:val="004E61FB"/>
    <w:pPr>
      <w:numPr>
        <w:ilvl w:val="0"/>
        <w:numId w:val="8"/>
      </w:numPr>
      <w:spacing w:before="60"/>
    </w:pPr>
  </w:style>
  <w:style w:type="paragraph" w:customStyle="1" w:styleId="boxtext">
    <w:name w:val="box text"/>
    <w:basedOn w:val="Fronttext"/>
    <w:rsid w:val="00B36F17"/>
    <w:pPr>
      <w:spacing w:before="120"/>
      <w:ind w:left="0"/>
    </w:pPr>
  </w:style>
  <w:style w:type="paragraph" w:customStyle="1" w:styleId="sub3paraA">
    <w:name w:val="sub3para (A)"/>
    <w:basedOn w:val="subsubparai"/>
    <w:qFormat/>
    <w:rsid w:val="009F4DE3"/>
    <w:pPr>
      <w:numPr>
        <w:ilvl w:val="3"/>
      </w:numPr>
    </w:pPr>
  </w:style>
  <w:style w:type="paragraph" w:customStyle="1" w:styleId="sub4paraI">
    <w:name w:val="sub4para (I)"/>
    <w:basedOn w:val="subsubparai"/>
    <w:qFormat/>
    <w:rsid w:val="009F4DE3"/>
    <w:pPr>
      <w:numPr>
        <w:ilvl w:val="4"/>
      </w:numPr>
    </w:pPr>
  </w:style>
  <w:style w:type="paragraph" w:customStyle="1" w:styleId="Feedbacksubsubquestion">
    <w:name w:val="Feedback subsubquestion"/>
    <w:basedOn w:val="Feedbacksubquestion"/>
    <w:qFormat/>
    <w:rsid w:val="00BC048C"/>
    <w:pPr>
      <w:numPr>
        <w:ilvl w:val="6"/>
      </w:numPr>
    </w:pPr>
  </w:style>
  <w:style w:type="paragraph" w:customStyle="1" w:styleId="sourcenoteindented">
    <w:name w:val="source note indented"/>
    <w:basedOn w:val="sourcenotefullwidth"/>
    <w:qFormat/>
    <w:rsid w:val="00C42A28"/>
    <w:pPr>
      <w:ind w:left="2268"/>
    </w:pPr>
  </w:style>
  <w:style w:type="paragraph" w:customStyle="1" w:styleId="tblnote">
    <w:name w:val="tbl note"/>
    <w:basedOn w:val="sourcenotefullwidth"/>
    <w:next w:val="tbltext"/>
    <w:qFormat/>
    <w:rsid w:val="00BE7E5F"/>
    <w:pPr>
      <w:ind w:left="170"/>
    </w:pPr>
  </w:style>
  <w:style w:type="paragraph" w:customStyle="1" w:styleId="tblProposalsubpara">
    <w:name w:val="tbl Proposal sub para"/>
    <w:basedOn w:val="tbltext"/>
    <w:qFormat/>
    <w:rsid w:val="00CC3E64"/>
    <w:pPr>
      <w:ind w:left="885" w:hanging="425"/>
    </w:pPr>
  </w:style>
  <w:style w:type="paragraph" w:customStyle="1" w:styleId="tblProposalsubsubpara">
    <w:name w:val="tbl Proposal sub sub para"/>
    <w:basedOn w:val="tbltext"/>
    <w:qFormat/>
    <w:rsid w:val="00CC3E64"/>
    <w:pPr>
      <w:ind w:left="1310" w:hanging="425"/>
    </w:pPr>
  </w:style>
  <w:style w:type="paragraph" w:customStyle="1" w:styleId="tblProposaltext">
    <w:name w:val="tbl Proposal text"/>
    <w:basedOn w:val="tbltext"/>
    <w:qFormat/>
    <w:rsid w:val="00CC3E64"/>
    <w:pPr>
      <w:ind w:left="425" w:hanging="425"/>
    </w:pPr>
  </w:style>
  <w:style w:type="paragraph" w:customStyle="1" w:styleId="tblProposaltextnonumber">
    <w:name w:val="tbl Proposal text no number"/>
    <w:basedOn w:val="tbltext"/>
    <w:qFormat/>
    <w:rsid w:val="00CC3E64"/>
    <w:pPr>
      <w:ind w:left="425"/>
    </w:pPr>
  </w:style>
  <w:style w:type="paragraph" w:customStyle="1" w:styleId="tblFeedbackquestion">
    <w:name w:val="tbl Feedback question"/>
    <w:basedOn w:val="Proposaltext"/>
    <w:qFormat/>
    <w:rsid w:val="004F6680"/>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5E45D1"/>
    <w:rPr>
      <w:sz w:val="16"/>
      <w:szCs w:val="16"/>
    </w:rPr>
  </w:style>
  <w:style w:type="paragraph" w:customStyle="1" w:styleId="tblFeedbacksubquestion">
    <w:name w:val="tbl Feedback subquestion"/>
    <w:basedOn w:val="tblProposalsubpara"/>
    <w:rsid w:val="004F6680"/>
    <w:pPr>
      <w:ind w:left="964" w:hanging="340"/>
    </w:pPr>
  </w:style>
  <w:style w:type="paragraph" w:customStyle="1" w:styleId="tblFeedbacksubsubquestion">
    <w:name w:val="tbl Feedback subsubquestion"/>
    <w:basedOn w:val="tblProposalsubsubpara"/>
    <w:qFormat/>
    <w:rsid w:val="004F6680"/>
    <w:pPr>
      <w:ind w:left="1304" w:hanging="340"/>
    </w:pPr>
  </w:style>
  <w:style w:type="paragraph" w:styleId="TOCHeading">
    <w:name w:val="TOC Heading"/>
    <w:basedOn w:val="Heading1"/>
    <w:next w:val="Normal"/>
    <w:uiPriority w:val="39"/>
    <w:qFormat/>
    <w:rsid w:val="00713054"/>
    <w:pPr>
      <w:numPr>
        <w:numId w:val="0"/>
      </w:numPr>
      <w:spacing w:before="200" w:line="240" w:lineRule="auto"/>
    </w:pPr>
    <w:rPr>
      <w:rFonts w:eastAsiaTheme="majorEastAsia"/>
      <w:kern w:val="0"/>
    </w:rPr>
  </w:style>
  <w:style w:type="paragraph" w:customStyle="1" w:styleId="Heading1nonumber">
    <w:name w:val="Heading 1 no number"/>
    <w:basedOn w:val="Heading1"/>
    <w:next w:val="Bodytextplain"/>
    <w:rsid w:val="007E6FAE"/>
    <w:pPr>
      <w:numPr>
        <w:numId w:val="0"/>
      </w:numPr>
    </w:pPr>
  </w:style>
  <w:style w:type="paragraph" w:customStyle="1" w:styleId="Heading2noToC">
    <w:name w:val="Heading 2 no ToC"/>
    <w:basedOn w:val="Bodytextplain"/>
    <w:next w:val="Bodytextplain"/>
    <w:rsid w:val="007E6FAE"/>
    <w:pPr>
      <w:keepNext/>
      <w:spacing w:before="720" w:line="280" w:lineRule="atLeast"/>
      <w:ind w:left="0"/>
      <w:outlineLvl w:val="1"/>
    </w:pPr>
    <w:rPr>
      <w:rFonts w:ascii="Arial" w:hAnsi="Arial" w:cs="Arial"/>
      <w:b/>
      <w:sz w:val="28"/>
      <w:szCs w:val="28"/>
    </w:rPr>
  </w:style>
  <w:style w:type="paragraph" w:customStyle="1" w:styleId="Heading2indented">
    <w:name w:val="Heading 2 indented"/>
    <w:basedOn w:val="Normal"/>
    <w:next w:val="Bodytextplain"/>
    <w:qFormat/>
    <w:rsid w:val="00635D6F"/>
    <w:pPr>
      <w:keepNext/>
      <w:spacing w:before="400" w:after="0" w:line="280" w:lineRule="atLeast"/>
      <w:ind w:left="2268"/>
      <w:outlineLvl w:val="1"/>
    </w:pPr>
    <w:rPr>
      <w:rFonts w:ascii="Arial" w:hAnsi="Arial" w:cs="Arial"/>
      <w:b/>
      <w:sz w:val="24"/>
      <w:szCs w:val="24"/>
    </w:rPr>
  </w:style>
  <w:style w:type="paragraph" w:customStyle="1" w:styleId="Frontmatternote">
    <w:name w:val="Front matter note"/>
    <w:basedOn w:val="tblnote"/>
    <w:qFormat/>
    <w:rsid w:val="00BE7E5F"/>
    <w:pPr>
      <w:spacing w:before="200"/>
      <w:ind w:left="2693"/>
    </w:pPr>
  </w:style>
  <w:style w:type="paragraph" w:customStyle="1" w:styleId="Responsehead">
    <w:name w:val="Response head"/>
    <w:basedOn w:val="Feedbackhead"/>
    <w:next w:val="Responsetext"/>
    <w:qFormat/>
    <w:rsid w:val="00BE0F6C"/>
    <w:pPr>
      <w:spacing w:before="400"/>
      <w:ind w:right="4309"/>
    </w:pPr>
  </w:style>
  <w:style w:type="paragraph" w:customStyle="1" w:styleId="Responsetext">
    <w:name w:val="Response text"/>
    <w:basedOn w:val="Responsehead"/>
    <w:qFormat/>
    <w:rsid w:val="00BE0F6C"/>
    <w:pPr>
      <w:keepNext w:val="0"/>
      <w:pBdr>
        <w:top w:val="none" w:sz="0" w:space="0" w:color="auto"/>
      </w:pBdr>
      <w:spacing w:before="100" w:line="260" w:lineRule="atLeast"/>
      <w:ind w:right="0"/>
    </w:pPr>
    <w:rPr>
      <w:i w:val="0"/>
    </w:rPr>
  </w:style>
  <w:style w:type="paragraph" w:customStyle="1" w:styleId="Responsebullet">
    <w:name w:val="Response bullet"/>
    <w:basedOn w:val="Responsetext"/>
    <w:qFormat/>
    <w:rsid w:val="001B3035"/>
    <w:pPr>
      <w:numPr>
        <w:numId w:val="9"/>
      </w:numPr>
      <w:ind w:left="3572" w:hanging="340"/>
    </w:pPr>
  </w:style>
  <w:style w:type="paragraph" w:customStyle="1" w:styleId="tabletext">
    <w:name w:val="table text"/>
    <w:basedOn w:val="tablehead"/>
    <w:rsid w:val="004D2B37"/>
    <w:pPr>
      <w:keepNext w:val="0"/>
    </w:pPr>
    <w:rPr>
      <w:b w:val="0"/>
    </w:rPr>
  </w:style>
  <w:style w:type="character" w:customStyle="1" w:styleId="HeaderChar">
    <w:name w:val="Header Char"/>
    <w:basedOn w:val="DefaultParagraphFont"/>
    <w:link w:val="Header"/>
    <w:rsid w:val="004D2B37"/>
    <w:rPr>
      <w:rFonts w:ascii="Arial" w:hAnsi="Arial" w:cs="Arial"/>
      <w:caps/>
      <w:color w:val="008291"/>
      <w:sz w:val="16"/>
      <w:szCs w:val="16"/>
    </w:rPr>
  </w:style>
  <w:style w:type="character" w:customStyle="1" w:styleId="Heading2Char">
    <w:name w:val="Heading 2 Char"/>
    <w:basedOn w:val="DefaultParagraphFont"/>
    <w:link w:val="Heading2"/>
    <w:uiPriority w:val="9"/>
    <w:rsid w:val="005D5967"/>
    <w:rPr>
      <w:rFonts w:ascii="Arial" w:hAnsi="Arial" w:cs="Arial"/>
      <w:b/>
      <w:sz w:val="28"/>
      <w:szCs w:val="28"/>
    </w:rPr>
  </w:style>
  <w:style w:type="character" w:customStyle="1" w:styleId="FootnoteTextChar">
    <w:name w:val="Footnote Text Char"/>
    <w:basedOn w:val="DefaultParagraphFont"/>
    <w:link w:val="FootnoteText"/>
    <w:uiPriority w:val="99"/>
    <w:semiHidden/>
    <w:rsid w:val="005D5967"/>
    <w:rPr>
      <w:sz w:val="18"/>
    </w:rPr>
  </w:style>
  <w:style w:type="character" w:customStyle="1" w:styleId="tbltextChar">
    <w:name w:val="tbl text Char"/>
    <w:basedOn w:val="DefaultParagraphFont"/>
    <w:link w:val="tbltext"/>
    <w:rsid w:val="005D5967"/>
    <w:rPr>
      <w:rFonts w:ascii="Arial" w:hAnsi="Arial" w:cs="Arial"/>
      <w:sz w:val="18"/>
      <w:szCs w:val="18"/>
    </w:rPr>
  </w:style>
  <w:style w:type="character" w:customStyle="1" w:styleId="Heading8Char">
    <w:name w:val="Heading 8 Char"/>
    <w:basedOn w:val="DefaultParagraphFont"/>
    <w:link w:val="Heading8"/>
    <w:uiPriority w:val="9"/>
    <w:semiHidden/>
    <w:rsid w:val="0095357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53571"/>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rsid w:val="00953571"/>
    <w:rPr>
      <w:sz w:val="22"/>
      <w:szCs w:val="22"/>
    </w:rPr>
  </w:style>
  <w:style w:type="paragraph" w:customStyle="1" w:styleId="figuretitle">
    <w:name w:val="figure title"/>
    <w:basedOn w:val="Normal"/>
    <w:next w:val="figuretext"/>
    <w:rsid w:val="00953571"/>
    <w:pPr>
      <w:keepNext/>
      <w:spacing w:before="360" w:after="60"/>
      <w:ind w:left="2268" w:hanging="1276"/>
    </w:pPr>
    <w:rPr>
      <w:rFonts w:ascii="Arial" w:hAnsi="Arial"/>
      <w:b/>
      <w:sz w:val="20"/>
    </w:rPr>
  </w:style>
  <w:style w:type="character" w:customStyle="1" w:styleId="CommentTextChar">
    <w:name w:val="Comment Text Char"/>
    <w:basedOn w:val="DefaultParagraphFont"/>
    <w:rsid w:val="00953571"/>
  </w:style>
  <w:style w:type="paragraph" w:customStyle="1" w:styleId="Listdash">
    <w:name w:val="List dash"/>
    <w:basedOn w:val="Normal"/>
    <w:rsid w:val="00953571"/>
    <w:pPr>
      <w:tabs>
        <w:tab w:val="num" w:pos="3119"/>
      </w:tabs>
      <w:spacing w:before="100" w:after="0" w:line="300" w:lineRule="atLeast"/>
      <w:ind w:left="3118" w:hanging="425"/>
    </w:pPr>
  </w:style>
  <w:style w:type="paragraph" w:styleId="ListParagraph">
    <w:name w:val="List Paragraph"/>
    <w:aliases w:val="Cell bullets,Noise heading,Issue Action POC,List Paragraph1,3,POCG Table Text,Dot pt,F5 List Paragraph,List Paragraph Char Char Char,Indicator Text,Colorful List - Accent 11,Numbered Para 1,Bullet 1,Bullet Points,List Paragraph2,RUS List"/>
    <w:basedOn w:val="Normal"/>
    <w:link w:val="ListParagraphChar"/>
    <w:uiPriority w:val="34"/>
    <w:qFormat/>
    <w:rsid w:val="00953571"/>
    <w:pPr>
      <w:spacing w:after="160" w:line="259" w:lineRule="auto"/>
      <w:ind w:left="720"/>
      <w:contextualSpacing/>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uiPriority w:val="99"/>
    <w:semiHidden/>
    <w:unhideWhenUsed/>
    <w:rsid w:val="00953571"/>
    <w:rPr>
      <w:b/>
      <w:bCs/>
    </w:rPr>
  </w:style>
  <w:style w:type="character" w:customStyle="1" w:styleId="CommentTextChar1">
    <w:name w:val="Comment Text Char1"/>
    <w:basedOn w:val="DefaultParagraphFont"/>
    <w:link w:val="CommentText"/>
    <w:uiPriority w:val="99"/>
    <w:rsid w:val="00953571"/>
  </w:style>
  <w:style w:type="character" w:customStyle="1" w:styleId="CommentSubjectChar">
    <w:name w:val="Comment Subject Char"/>
    <w:basedOn w:val="CommentTextChar1"/>
    <w:link w:val="CommentSubject"/>
    <w:uiPriority w:val="99"/>
    <w:semiHidden/>
    <w:rsid w:val="00953571"/>
    <w:rPr>
      <w:b/>
      <w:bCs/>
    </w:rPr>
  </w:style>
  <w:style w:type="character" w:customStyle="1" w:styleId="Heading3Char">
    <w:name w:val="Heading 3 Char"/>
    <w:basedOn w:val="DefaultParagraphFont"/>
    <w:link w:val="Heading3"/>
    <w:uiPriority w:val="9"/>
    <w:rsid w:val="00953571"/>
    <w:rPr>
      <w:rFonts w:ascii="Arial" w:hAnsi="Arial" w:cs="Arial"/>
      <w:b/>
      <w:sz w:val="24"/>
      <w:szCs w:val="24"/>
    </w:rPr>
  </w:style>
  <w:style w:type="character" w:customStyle="1" w:styleId="Heading1Char">
    <w:name w:val="Heading 1 Char"/>
    <w:basedOn w:val="DefaultParagraphFont"/>
    <w:link w:val="Heading1"/>
    <w:rsid w:val="00953571"/>
    <w:rPr>
      <w:rFonts w:ascii="Arial" w:hAnsi="Arial" w:cs="Arial"/>
      <w:b/>
      <w:kern w:val="28"/>
      <w:sz w:val="36"/>
      <w:szCs w:val="36"/>
    </w:rPr>
  </w:style>
  <w:style w:type="paragraph" w:customStyle="1" w:styleId="Default">
    <w:name w:val="Default"/>
    <w:rsid w:val="0095357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953571"/>
    <w:rPr>
      <w:color w:val="800080" w:themeColor="followedHyperlink"/>
      <w:u w:val="single"/>
    </w:rPr>
  </w:style>
  <w:style w:type="table" w:styleId="TableGrid">
    <w:name w:val="Table Grid"/>
    <w:basedOn w:val="TableNormal"/>
    <w:uiPriority w:val="5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35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3571"/>
    <w:rPr>
      <w:sz w:val="22"/>
    </w:rPr>
  </w:style>
  <w:style w:type="character" w:styleId="UnresolvedMention">
    <w:name w:val="Unresolved Mention"/>
    <w:basedOn w:val="DefaultParagraphFont"/>
    <w:uiPriority w:val="99"/>
    <w:semiHidden/>
    <w:unhideWhenUsed/>
    <w:rsid w:val="00953571"/>
    <w:rPr>
      <w:color w:val="605E5C"/>
      <w:shd w:val="clear" w:color="auto" w:fill="E1DFDD"/>
    </w:rPr>
  </w:style>
  <w:style w:type="paragraph" w:styleId="NoSpacing">
    <w:name w:val="No Spacing"/>
    <w:uiPriority w:val="1"/>
    <w:qFormat/>
    <w:rsid w:val="00953571"/>
    <w:rPr>
      <w:sz w:val="22"/>
    </w:rPr>
  </w:style>
  <w:style w:type="paragraph" w:customStyle="1" w:styleId="MIRSubpara">
    <w:name w:val="MIR Subpara"/>
    <w:basedOn w:val="subparaa"/>
    <w:link w:val="MIRSubparaChar"/>
    <w:qFormat/>
    <w:rsid w:val="00953571"/>
    <w:pPr>
      <w:numPr>
        <w:numId w:val="12"/>
      </w:numPr>
    </w:pPr>
  </w:style>
  <w:style w:type="paragraph" w:customStyle="1" w:styleId="MIRsubsubsubpara">
    <w:name w:val="MIR subsubsubpara"/>
    <w:basedOn w:val="subsubparai"/>
    <w:qFormat/>
    <w:rsid w:val="00953571"/>
    <w:pPr>
      <w:numPr>
        <w:ilvl w:val="3"/>
        <w:numId w:val="12"/>
      </w:numPr>
    </w:pPr>
  </w:style>
  <w:style w:type="character" w:customStyle="1" w:styleId="MIRSubparaChar">
    <w:name w:val="MIR Subpara Char"/>
    <w:basedOn w:val="DefaultParagraphFont"/>
    <w:link w:val="MIRSubpara"/>
    <w:rsid w:val="00953571"/>
    <w:rPr>
      <w:sz w:val="22"/>
      <w:szCs w:val="22"/>
    </w:rPr>
  </w:style>
  <w:style w:type="paragraph" w:customStyle="1" w:styleId="MIRBodyText">
    <w:name w:val="MIR Body Text"/>
    <w:basedOn w:val="Bodytextplain"/>
    <w:link w:val="MIRBodyTextChar"/>
    <w:qFormat/>
    <w:rsid w:val="00953571"/>
    <w:pPr>
      <w:numPr>
        <w:numId w:val="12"/>
      </w:numPr>
      <w:tabs>
        <w:tab w:val="left" w:pos="2205"/>
      </w:tabs>
    </w:pPr>
  </w:style>
  <w:style w:type="character" w:customStyle="1" w:styleId="MIRBodyTextChar">
    <w:name w:val="MIR Body Text Char"/>
    <w:basedOn w:val="DefaultParagraphFont"/>
    <w:link w:val="MIRBodyText"/>
    <w:rsid w:val="00953571"/>
    <w:rPr>
      <w:sz w:val="22"/>
      <w:szCs w:val="22"/>
    </w:rPr>
  </w:style>
  <w:style w:type="paragraph" w:customStyle="1" w:styleId="MIRSubsubpara">
    <w:name w:val="MIR Subsubpara"/>
    <w:basedOn w:val="subsubparai"/>
    <w:qFormat/>
    <w:rsid w:val="00953571"/>
    <w:pPr>
      <w:numPr>
        <w:numId w:val="12"/>
      </w:numPr>
    </w:pPr>
  </w:style>
  <w:style w:type="paragraph" w:customStyle="1" w:styleId="MIRHeading3Rule">
    <w:name w:val="MIR Heading 3 (Rule)"/>
    <w:basedOn w:val="Heading3"/>
    <w:next w:val="MIRBodyText"/>
    <w:link w:val="MIRHeading3RuleChar"/>
    <w:qFormat/>
    <w:rsid w:val="00953571"/>
    <w:pPr>
      <w:keepNext w:val="0"/>
      <w:spacing w:after="120"/>
      <w:ind w:left="851" w:hanging="851"/>
    </w:pPr>
    <w:rPr>
      <w:rFonts w:eastAsia="Calibri"/>
      <w:szCs w:val="22"/>
      <w:lang w:eastAsia="en-US"/>
    </w:rPr>
  </w:style>
  <w:style w:type="character" w:customStyle="1" w:styleId="MIRHeading3RuleChar">
    <w:name w:val="MIR Heading 3 (Rule) Char"/>
    <w:basedOn w:val="Heading3Char"/>
    <w:link w:val="MIRHeading3Rule"/>
    <w:rsid w:val="00953571"/>
    <w:rPr>
      <w:rFonts w:ascii="Arial" w:eastAsia="Calibri" w:hAnsi="Arial" w:cs="Arial"/>
      <w:b/>
      <w:sz w:val="24"/>
      <w:szCs w:val="22"/>
      <w:lang w:eastAsia="en-US"/>
    </w:rPr>
  </w:style>
  <w:style w:type="paragraph" w:customStyle="1" w:styleId="MIRHeading2Part">
    <w:name w:val="MIR Heading 2 (Part)"/>
    <w:basedOn w:val="Heading2"/>
    <w:next w:val="MIRHeading3Rule"/>
    <w:link w:val="MIRHeading2PartChar"/>
    <w:qFormat/>
    <w:rsid w:val="00953571"/>
    <w:pPr>
      <w:keepLines/>
      <w:spacing w:before="400" w:after="200"/>
    </w:pPr>
    <w:rPr>
      <w:kern w:val="28"/>
      <w:szCs w:val="26"/>
      <w:lang w:eastAsia="en-US"/>
    </w:rPr>
  </w:style>
  <w:style w:type="character" w:customStyle="1" w:styleId="MIRHeading2PartChar">
    <w:name w:val="MIR Heading 2 (Part) Char"/>
    <w:basedOn w:val="DefaultParagraphFont"/>
    <w:link w:val="MIRHeading2Part"/>
    <w:rsid w:val="00953571"/>
    <w:rPr>
      <w:rFonts w:ascii="Arial" w:hAnsi="Arial" w:cs="Arial"/>
      <w:b/>
      <w:kern w:val="28"/>
      <w:sz w:val="28"/>
      <w:szCs w:val="26"/>
      <w:lang w:eastAsia="en-US"/>
    </w:rPr>
  </w:style>
  <w:style w:type="paragraph" w:customStyle="1" w:styleId="Tiptext">
    <w:name w:val="Tip text"/>
    <w:basedOn w:val="Fronttext"/>
    <w:next w:val="BodyText"/>
    <w:rsid w:val="00953571"/>
    <w:rPr>
      <w:vanish/>
      <w:color w:val="800000"/>
    </w:rPr>
  </w:style>
  <w:style w:type="paragraph" w:styleId="NormalWeb">
    <w:name w:val="Normal (Web)"/>
    <w:basedOn w:val="Normal"/>
    <w:uiPriority w:val="99"/>
    <w:semiHidden/>
    <w:unhideWhenUsed/>
    <w:rsid w:val="00953571"/>
    <w:pPr>
      <w:spacing w:before="100" w:beforeAutospacing="1" w:after="100" w:afterAutospacing="1"/>
    </w:pPr>
    <w:rPr>
      <w:sz w:val="24"/>
      <w:szCs w:val="24"/>
    </w:rPr>
  </w:style>
  <w:style w:type="paragraph" w:customStyle="1" w:styleId="ParaHeading1">
    <w:name w:val="Para Heading 1"/>
    <w:qFormat/>
    <w:rsid w:val="00953571"/>
    <w:pPr>
      <w:numPr>
        <w:numId w:val="13"/>
      </w:numPr>
      <w:spacing w:after="160" w:line="259" w:lineRule="auto"/>
    </w:pPr>
    <w:rPr>
      <w:rFonts w:asciiTheme="minorHAnsi" w:hAnsiTheme="minorHAnsi"/>
      <w:b/>
      <w:sz w:val="24"/>
      <w:szCs w:val="24"/>
      <w:lang w:eastAsia="en-US"/>
    </w:rPr>
  </w:style>
  <w:style w:type="paragraph" w:customStyle="1" w:styleId="ParaHeading2">
    <w:name w:val="Para Heading 2"/>
    <w:next w:val="ParaLevel2"/>
    <w:qFormat/>
    <w:rsid w:val="00953571"/>
    <w:pPr>
      <w:numPr>
        <w:ilvl w:val="1"/>
        <w:numId w:val="13"/>
      </w:numPr>
      <w:spacing w:after="160" w:line="259" w:lineRule="auto"/>
    </w:pPr>
    <w:rPr>
      <w:rFonts w:asciiTheme="minorHAnsi" w:hAnsiTheme="minorHAnsi"/>
      <w:b/>
      <w:sz w:val="24"/>
      <w:szCs w:val="24"/>
      <w:lang w:eastAsia="en-US"/>
    </w:rPr>
  </w:style>
  <w:style w:type="paragraph" w:customStyle="1" w:styleId="ParaLevel2">
    <w:name w:val="Para Level 2"/>
    <w:qFormat/>
    <w:rsid w:val="00953571"/>
    <w:pPr>
      <w:numPr>
        <w:ilvl w:val="2"/>
        <w:numId w:val="13"/>
      </w:numPr>
      <w:spacing w:after="160" w:line="259" w:lineRule="auto"/>
    </w:pPr>
    <w:rPr>
      <w:rFonts w:asciiTheme="minorHAnsi" w:hAnsiTheme="minorHAnsi"/>
      <w:sz w:val="24"/>
      <w:szCs w:val="24"/>
      <w:lang w:eastAsia="en-US"/>
    </w:rPr>
  </w:style>
  <w:style w:type="paragraph" w:customStyle="1" w:styleId="ParaHeading3">
    <w:name w:val="Para Heading 3"/>
    <w:next w:val="ParaLevel3"/>
    <w:qFormat/>
    <w:rsid w:val="00953571"/>
    <w:pPr>
      <w:numPr>
        <w:ilvl w:val="3"/>
        <w:numId w:val="13"/>
      </w:numPr>
      <w:spacing w:after="160" w:line="259" w:lineRule="auto"/>
    </w:pPr>
    <w:rPr>
      <w:rFonts w:asciiTheme="minorHAnsi" w:hAnsiTheme="minorHAnsi"/>
      <w:b/>
      <w:sz w:val="24"/>
      <w:szCs w:val="24"/>
      <w:lang w:eastAsia="en-US"/>
    </w:rPr>
  </w:style>
  <w:style w:type="paragraph" w:customStyle="1" w:styleId="ParaLevel3">
    <w:name w:val="Para Level 3"/>
    <w:qFormat/>
    <w:rsid w:val="00953571"/>
    <w:pPr>
      <w:numPr>
        <w:ilvl w:val="4"/>
        <w:numId w:val="13"/>
      </w:numPr>
      <w:spacing w:after="160" w:line="259" w:lineRule="auto"/>
    </w:pPr>
    <w:rPr>
      <w:rFonts w:asciiTheme="minorHAnsi" w:hAnsiTheme="minorHAnsi"/>
      <w:sz w:val="24"/>
      <w:szCs w:val="24"/>
      <w:lang w:eastAsia="en-US"/>
    </w:rPr>
  </w:style>
  <w:style w:type="paragraph" w:customStyle="1" w:styleId="ParaHeading4">
    <w:name w:val="Para Heading 4"/>
    <w:next w:val="PraLevel4"/>
    <w:qFormat/>
    <w:rsid w:val="00953571"/>
    <w:pPr>
      <w:numPr>
        <w:ilvl w:val="5"/>
        <w:numId w:val="13"/>
      </w:numPr>
      <w:spacing w:after="160" w:line="259" w:lineRule="auto"/>
    </w:pPr>
    <w:rPr>
      <w:rFonts w:asciiTheme="minorHAnsi" w:hAnsiTheme="minorHAnsi"/>
      <w:b/>
      <w:sz w:val="24"/>
      <w:szCs w:val="24"/>
      <w:lang w:eastAsia="en-US"/>
    </w:rPr>
  </w:style>
  <w:style w:type="paragraph" w:customStyle="1" w:styleId="PraLevel4">
    <w:name w:val="Pra Level 4"/>
    <w:qFormat/>
    <w:rsid w:val="00953571"/>
    <w:pPr>
      <w:numPr>
        <w:ilvl w:val="6"/>
        <w:numId w:val="13"/>
      </w:numPr>
      <w:spacing w:after="160" w:line="259" w:lineRule="auto"/>
    </w:pPr>
    <w:rPr>
      <w:rFonts w:asciiTheme="minorHAnsi" w:hAnsiTheme="minorHAnsi"/>
      <w:sz w:val="24"/>
      <w:szCs w:val="24"/>
      <w:lang w:eastAsia="en-US"/>
    </w:rPr>
  </w:style>
  <w:style w:type="paragraph" w:customStyle="1" w:styleId="ListPara1">
    <w:name w:val="List Para 1"/>
    <w:basedOn w:val="Normal"/>
    <w:link w:val="ListPara1Char"/>
    <w:uiPriority w:val="4"/>
    <w:qFormat/>
    <w:rsid w:val="00953571"/>
    <w:pPr>
      <w:numPr>
        <w:numId w:val="14"/>
      </w:numPr>
      <w:spacing w:after="200" w:line="276" w:lineRule="auto"/>
    </w:pPr>
    <w:rPr>
      <w:rFonts w:ascii="Century Gothic" w:hAnsi="Century Gothic" w:cs="Arial"/>
      <w:lang w:val="en-US"/>
    </w:rPr>
  </w:style>
  <w:style w:type="character" w:customStyle="1" w:styleId="ListPara1Char">
    <w:name w:val="List Para 1 Char"/>
    <w:basedOn w:val="DefaultParagraphFont"/>
    <w:link w:val="ListPara1"/>
    <w:uiPriority w:val="4"/>
    <w:rsid w:val="00953571"/>
    <w:rPr>
      <w:rFonts w:ascii="Century Gothic" w:hAnsi="Century Gothic" w:cs="Arial"/>
      <w:sz w:val="22"/>
      <w:lang w:val="en-US"/>
    </w:rPr>
  </w:style>
  <w:style w:type="paragraph" w:customStyle="1" w:styleId="ListPara2">
    <w:name w:val="List Para 2"/>
    <w:basedOn w:val="Normal"/>
    <w:qFormat/>
    <w:rsid w:val="00953571"/>
    <w:pPr>
      <w:numPr>
        <w:ilvl w:val="1"/>
        <w:numId w:val="14"/>
      </w:numPr>
      <w:spacing w:after="160" w:line="259" w:lineRule="auto"/>
    </w:pPr>
    <w:rPr>
      <w:rFonts w:ascii="Century Gothic" w:eastAsiaTheme="minorHAnsi" w:hAnsi="Century Gothic" w:cstheme="minorBidi"/>
      <w:lang w:eastAsia="en-US"/>
    </w:rPr>
  </w:style>
  <w:style w:type="paragraph" w:customStyle="1" w:styleId="ParaHdg1">
    <w:name w:val="ParaHdg1"/>
    <w:basedOn w:val="Normal"/>
    <w:qFormat/>
    <w:rsid w:val="00953571"/>
    <w:pPr>
      <w:numPr>
        <w:numId w:val="15"/>
      </w:numPr>
      <w:spacing w:before="480" w:after="0" w:line="276" w:lineRule="auto"/>
    </w:pPr>
    <w:rPr>
      <w:rFonts w:ascii="Century Gothic" w:hAnsi="Century Gothic" w:cs="Arial"/>
      <w:b/>
      <w:lang w:val="en-US"/>
    </w:rPr>
  </w:style>
  <w:style w:type="paragraph" w:customStyle="1" w:styleId="ParaLvl2">
    <w:name w:val="ParaLvl2"/>
    <w:basedOn w:val="Normal"/>
    <w:uiPriority w:val="1"/>
    <w:qFormat/>
    <w:rsid w:val="00953571"/>
    <w:pPr>
      <w:numPr>
        <w:ilvl w:val="2"/>
        <w:numId w:val="15"/>
      </w:numPr>
      <w:spacing w:before="120" w:after="0" w:line="259" w:lineRule="auto"/>
    </w:pPr>
    <w:rPr>
      <w:rFonts w:ascii="Century Gothic" w:eastAsiaTheme="minorHAnsi" w:hAnsi="Century Gothic" w:cstheme="minorBidi"/>
      <w:szCs w:val="22"/>
      <w:lang w:eastAsia="en-US"/>
    </w:rPr>
  </w:style>
  <w:style w:type="paragraph" w:customStyle="1" w:styleId="ParaHdg2">
    <w:name w:val="ParaHdg2"/>
    <w:basedOn w:val="Normal"/>
    <w:next w:val="ParaLvl2"/>
    <w:uiPriority w:val="1"/>
    <w:qFormat/>
    <w:rsid w:val="00953571"/>
    <w:pPr>
      <w:numPr>
        <w:ilvl w:val="3"/>
        <w:numId w:val="15"/>
      </w:numPr>
      <w:spacing w:before="240" w:after="160" w:line="259" w:lineRule="auto"/>
    </w:pPr>
    <w:rPr>
      <w:rFonts w:ascii="Century Gothic" w:eastAsiaTheme="minorHAnsi" w:hAnsi="Century Gothic" w:cstheme="minorBidi"/>
      <w:b/>
      <w:lang w:eastAsia="en-US"/>
    </w:rPr>
  </w:style>
  <w:style w:type="paragraph" w:customStyle="1" w:styleId="ParaLvl3">
    <w:name w:val="ParaLvl3"/>
    <w:basedOn w:val="ParaLvl2"/>
    <w:uiPriority w:val="2"/>
    <w:qFormat/>
    <w:rsid w:val="00953571"/>
    <w:pPr>
      <w:numPr>
        <w:ilvl w:val="5"/>
      </w:numPr>
      <w:spacing w:before="200"/>
    </w:pPr>
  </w:style>
  <w:style w:type="paragraph" w:customStyle="1" w:styleId="ListPara3">
    <w:name w:val="List Para 3"/>
    <w:basedOn w:val="ParaLvl3"/>
    <w:uiPriority w:val="2"/>
    <w:rsid w:val="00953571"/>
    <w:pPr>
      <w:numPr>
        <w:ilvl w:val="6"/>
      </w:numPr>
    </w:pPr>
  </w:style>
  <w:style w:type="paragraph" w:customStyle="1" w:styleId="ParaLvl1">
    <w:name w:val="ParaLvl1"/>
    <w:basedOn w:val="ListPara1"/>
    <w:qFormat/>
    <w:rsid w:val="00953571"/>
    <w:pPr>
      <w:numPr>
        <w:ilvl w:val="1"/>
        <w:numId w:val="15"/>
      </w:numPr>
      <w:spacing w:before="160" w:after="0"/>
      <w:ind w:left="1440" w:hanging="360"/>
    </w:pPr>
  </w:style>
  <w:style w:type="character" w:styleId="PlaceholderText">
    <w:name w:val="Placeholder Text"/>
    <w:basedOn w:val="DefaultParagraphFont"/>
    <w:uiPriority w:val="99"/>
    <w:semiHidden/>
    <w:rsid w:val="00953571"/>
    <w:rPr>
      <w:color w:val="808080"/>
    </w:rPr>
  </w:style>
  <w:style w:type="paragraph" w:customStyle="1" w:styleId="Normal1">
    <w:name w:val="Normal1"/>
    <w:basedOn w:val="Normal"/>
    <w:qFormat/>
    <w:rsid w:val="00953571"/>
    <w:pPr>
      <w:spacing w:after="120" w:line="0" w:lineRule="atLeast"/>
    </w:pPr>
    <w:rPr>
      <w:rFonts w:ascii="Arial" w:eastAsia="PMingLiU" w:hAnsi="Arial"/>
      <w:kern w:val="2"/>
      <w:lang w:val="en-GB" w:eastAsia="zh-TW"/>
    </w:rPr>
  </w:style>
  <w:style w:type="character" w:customStyle="1" w:styleId="ListParagraphChar">
    <w:name w:val="List Paragraph Char"/>
    <w:aliases w:val="Cell bullets Char,Noise heading Char,Issue Action POC Char,List Paragraph1 Char,3 Char,POCG Table Text Char,Dot pt Char,F5 List Paragraph Char,List Paragraph Char Char Char Char,Indicator Text Char,Colorful List - Accent 11 Char"/>
    <w:basedOn w:val="DefaultParagraphFont"/>
    <w:link w:val="ListParagraph"/>
    <w:uiPriority w:val="34"/>
    <w:qFormat/>
    <w:locked/>
    <w:rsid w:val="00953571"/>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9535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5357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ocClassification">
    <w:name w:val="Doc Classification"/>
    <w:link w:val="DocClassificationChar"/>
    <w:qFormat/>
    <w:rsid w:val="00953571"/>
    <w:pPr>
      <w:tabs>
        <w:tab w:val="right" w:pos="9214"/>
      </w:tabs>
      <w:spacing w:before="200" w:after="200"/>
    </w:pPr>
    <w:rPr>
      <w:rFonts w:ascii="Calibri" w:eastAsia="Calibri" w:hAnsi="Calibri"/>
      <w:b/>
      <w:noProof/>
      <w:color w:val="D0453A"/>
      <w:sz w:val="24"/>
      <w:szCs w:val="22"/>
      <w:lang w:eastAsia="en-US"/>
    </w:rPr>
  </w:style>
  <w:style w:type="character" w:customStyle="1" w:styleId="DocClassificationChar">
    <w:name w:val="Doc Classification Char"/>
    <w:link w:val="DocClassification"/>
    <w:rsid w:val="00953571"/>
    <w:rPr>
      <w:rFonts w:ascii="Calibri" w:eastAsia="Calibri" w:hAnsi="Calibri"/>
      <w:b/>
      <w:noProof/>
      <w:color w:val="D0453A"/>
      <w:sz w:val="24"/>
      <w:szCs w:val="22"/>
      <w:lang w:eastAsia="en-US"/>
    </w:rPr>
  </w:style>
  <w:style w:type="character" w:customStyle="1" w:styleId="FooterChar">
    <w:name w:val="Footer Char"/>
    <w:basedOn w:val="DefaultParagraphFont"/>
    <w:link w:val="Footer"/>
    <w:uiPriority w:val="99"/>
    <w:rsid w:val="00953571"/>
    <w:rPr>
      <w:rFonts w:ascii="Arial" w:hAnsi="Arial"/>
      <w:sz w:val="16"/>
      <w:szCs w:val="16"/>
    </w:rPr>
  </w:style>
  <w:style w:type="character" w:customStyle="1" w:styleId="Heading4Char">
    <w:name w:val="Heading 4 Char"/>
    <w:basedOn w:val="DefaultParagraphFont"/>
    <w:link w:val="Heading4"/>
    <w:uiPriority w:val="9"/>
    <w:rsid w:val="00953571"/>
    <w:rPr>
      <w:rFonts w:ascii="Arial" w:hAnsi="Arial" w:cs="Arial"/>
      <w:b/>
      <w:szCs w:val="22"/>
    </w:rPr>
  </w:style>
  <w:style w:type="character" w:customStyle="1" w:styleId="Heading5Char">
    <w:name w:val="Heading 5 Char"/>
    <w:basedOn w:val="DefaultParagraphFont"/>
    <w:link w:val="Heading5"/>
    <w:uiPriority w:val="9"/>
    <w:rsid w:val="00953571"/>
    <w:rPr>
      <w:rFonts w:ascii="Arial" w:hAnsi="Arial" w:cs="Arial"/>
      <w:i/>
    </w:rPr>
  </w:style>
  <w:style w:type="character" w:customStyle="1" w:styleId="Heading6Char">
    <w:name w:val="Heading 6 Char"/>
    <w:basedOn w:val="DefaultParagraphFont"/>
    <w:link w:val="Heading6"/>
    <w:uiPriority w:val="9"/>
    <w:rsid w:val="00953571"/>
    <w:rPr>
      <w:rFonts w:ascii="Arial" w:hAnsi="Arial" w:cs="Arial"/>
      <w:b/>
      <w:kern w:val="28"/>
      <w:sz w:val="36"/>
      <w:szCs w:val="36"/>
    </w:rPr>
  </w:style>
  <w:style w:type="character" w:customStyle="1" w:styleId="Heading7Char">
    <w:name w:val="Heading 7 Char"/>
    <w:basedOn w:val="DefaultParagraphFont"/>
    <w:link w:val="Heading7"/>
    <w:uiPriority w:val="9"/>
    <w:rsid w:val="00953571"/>
    <w:rPr>
      <w:rFonts w:ascii="Arial" w:hAnsi="Arial" w:cs="Arial"/>
      <w:b/>
      <w:sz w:val="28"/>
      <w:szCs w:val="28"/>
    </w:rPr>
  </w:style>
  <w:style w:type="character" w:customStyle="1" w:styleId="BalloonTextChar">
    <w:name w:val="Balloon Text Char"/>
    <w:basedOn w:val="DefaultParagraphFont"/>
    <w:link w:val="BalloonText"/>
    <w:semiHidden/>
    <w:rsid w:val="00953571"/>
    <w:rPr>
      <w:rFonts w:ascii="Tahoma" w:hAnsi="Tahoma" w:cs="Tahoma"/>
      <w:sz w:val="16"/>
      <w:szCs w:val="16"/>
    </w:rPr>
  </w:style>
  <w:style w:type="character" w:customStyle="1" w:styleId="hklmref">
    <w:name w:val="hklm_ref"/>
    <w:basedOn w:val="DefaultParagraphFont"/>
    <w:rsid w:val="0095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5656">
      <w:bodyDiv w:val="1"/>
      <w:marLeft w:val="0"/>
      <w:marRight w:val="0"/>
      <w:marTop w:val="0"/>
      <w:marBottom w:val="0"/>
      <w:divBdr>
        <w:top w:val="none" w:sz="0" w:space="0" w:color="auto"/>
        <w:left w:val="none" w:sz="0" w:space="0" w:color="auto"/>
        <w:bottom w:val="none" w:sz="0" w:space="0" w:color="auto"/>
        <w:right w:val="none" w:sz="0" w:space="0" w:color="auto"/>
      </w:divBdr>
    </w:div>
    <w:div w:id="371852252">
      <w:bodyDiv w:val="1"/>
      <w:marLeft w:val="0"/>
      <w:marRight w:val="0"/>
      <w:marTop w:val="0"/>
      <w:marBottom w:val="0"/>
      <w:divBdr>
        <w:top w:val="none" w:sz="0" w:space="0" w:color="auto"/>
        <w:left w:val="none" w:sz="0" w:space="0" w:color="auto"/>
        <w:bottom w:val="none" w:sz="0" w:space="0" w:color="auto"/>
        <w:right w:val="none" w:sz="0" w:space="0" w:color="auto"/>
      </w:divBdr>
    </w:div>
    <w:div w:id="421756746">
      <w:bodyDiv w:val="1"/>
      <w:marLeft w:val="0"/>
      <w:marRight w:val="0"/>
      <w:marTop w:val="0"/>
      <w:marBottom w:val="0"/>
      <w:divBdr>
        <w:top w:val="none" w:sz="0" w:space="0" w:color="auto"/>
        <w:left w:val="none" w:sz="0" w:space="0" w:color="auto"/>
        <w:bottom w:val="none" w:sz="0" w:space="0" w:color="auto"/>
        <w:right w:val="none" w:sz="0" w:space="0" w:color="auto"/>
      </w:divBdr>
    </w:div>
    <w:div w:id="832766475">
      <w:bodyDiv w:val="1"/>
      <w:marLeft w:val="0"/>
      <w:marRight w:val="0"/>
      <w:marTop w:val="0"/>
      <w:marBottom w:val="0"/>
      <w:divBdr>
        <w:top w:val="none" w:sz="0" w:space="0" w:color="auto"/>
        <w:left w:val="none" w:sz="0" w:space="0" w:color="auto"/>
        <w:bottom w:val="none" w:sz="0" w:space="0" w:color="auto"/>
        <w:right w:val="none" w:sz="0" w:space="0" w:color="auto"/>
      </w:divBdr>
      <w:divsChild>
        <w:div w:id="903416370">
          <w:marLeft w:val="0"/>
          <w:marRight w:val="0"/>
          <w:marTop w:val="0"/>
          <w:marBottom w:val="0"/>
          <w:divBdr>
            <w:top w:val="none" w:sz="0" w:space="0" w:color="auto"/>
            <w:left w:val="none" w:sz="0" w:space="0" w:color="auto"/>
            <w:bottom w:val="none" w:sz="0" w:space="0" w:color="auto"/>
            <w:right w:val="none" w:sz="0" w:space="0" w:color="auto"/>
          </w:divBdr>
          <w:divsChild>
            <w:div w:id="983780245">
              <w:marLeft w:val="0"/>
              <w:marRight w:val="0"/>
              <w:marTop w:val="0"/>
              <w:marBottom w:val="0"/>
              <w:divBdr>
                <w:top w:val="none" w:sz="0" w:space="0" w:color="auto"/>
                <w:left w:val="none" w:sz="0" w:space="0" w:color="auto"/>
                <w:bottom w:val="none" w:sz="0" w:space="0" w:color="auto"/>
                <w:right w:val="none" w:sz="0" w:space="0" w:color="auto"/>
              </w:divBdr>
              <w:divsChild>
                <w:div w:id="1322352180">
                  <w:marLeft w:val="0"/>
                  <w:marRight w:val="0"/>
                  <w:marTop w:val="100"/>
                  <w:marBottom w:val="100"/>
                  <w:divBdr>
                    <w:top w:val="none" w:sz="0" w:space="0" w:color="auto"/>
                    <w:left w:val="none" w:sz="0" w:space="0" w:color="auto"/>
                    <w:bottom w:val="none" w:sz="0" w:space="0" w:color="auto"/>
                    <w:right w:val="none" w:sz="0" w:space="0" w:color="auto"/>
                  </w:divBdr>
                  <w:divsChild>
                    <w:div w:id="128474120">
                      <w:marLeft w:val="1"/>
                      <w:marRight w:val="1"/>
                      <w:marTop w:val="240"/>
                      <w:marBottom w:val="0"/>
                      <w:divBdr>
                        <w:top w:val="none" w:sz="0" w:space="0" w:color="auto"/>
                        <w:left w:val="none" w:sz="0" w:space="0" w:color="auto"/>
                        <w:bottom w:val="none" w:sz="0" w:space="0" w:color="auto"/>
                        <w:right w:val="none" w:sz="0" w:space="0" w:color="auto"/>
                      </w:divBdr>
                      <w:divsChild>
                        <w:div w:id="1469471660">
                          <w:marLeft w:val="-1"/>
                          <w:marRight w:val="-1"/>
                          <w:marTop w:val="0"/>
                          <w:marBottom w:val="0"/>
                          <w:divBdr>
                            <w:top w:val="none" w:sz="0" w:space="0" w:color="auto"/>
                            <w:left w:val="none" w:sz="0" w:space="0" w:color="auto"/>
                            <w:bottom w:val="none" w:sz="0" w:space="0" w:color="auto"/>
                            <w:right w:val="none" w:sz="0" w:space="0" w:color="auto"/>
                          </w:divBdr>
                          <w:divsChild>
                            <w:div w:id="19285372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7278">
      <w:bodyDiv w:val="1"/>
      <w:marLeft w:val="0"/>
      <w:marRight w:val="0"/>
      <w:marTop w:val="0"/>
      <w:marBottom w:val="0"/>
      <w:divBdr>
        <w:top w:val="none" w:sz="0" w:space="0" w:color="auto"/>
        <w:left w:val="none" w:sz="0" w:space="0" w:color="auto"/>
        <w:bottom w:val="none" w:sz="0" w:space="0" w:color="auto"/>
        <w:right w:val="none" w:sz="0" w:space="0" w:color="auto"/>
      </w:divBdr>
      <w:divsChild>
        <w:div w:id="264263938">
          <w:marLeft w:val="0"/>
          <w:marRight w:val="0"/>
          <w:marTop w:val="2475"/>
          <w:marBottom w:val="0"/>
          <w:divBdr>
            <w:top w:val="none" w:sz="0" w:space="0" w:color="auto"/>
            <w:left w:val="none" w:sz="0" w:space="0" w:color="auto"/>
            <w:bottom w:val="none" w:sz="0" w:space="0" w:color="auto"/>
            <w:right w:val="none" w:sz="0" w:space="0" w:color="auto"/>
          </w:divBdr>
          <w:divsChild>
            <w:div w:id="1222328889">
              <w:marLeft w:val="0"/>
              <w:marRight w:val="0"/>
              <w:marTop w:val="0"/>
              <w:marBottom w:val="0"/>
              <w:divBdr>
                <w:top w:val="none" w:sz="0" w:space="0" w:color="auto"/>
                <w:left w:val="none" w:sz="0" w:space="0" w:color="auto"/>
                <w:bottom w:val="none" w:sz="0" w:space="0" w:color="auto"/>
                <w:right w:val="none" w:sz="0" w:space="0" w:color="auto"/>
              </w:divBdr>
              <w:divsChild>
                <w:div w:id="1585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78006">
      <w:bodyDiv w:val="1"/>
      <w:marLeft w:val="0"/>
      <w:marRight w:val="0"/>
      <w:marTop w:val="0"/>
      <w:marBottom w:val="0"/>
      <w:divBdr>
        <w:top w:val="none" w:sz="0" w:space="0" w:color="auto"/>
        <w:left w:val="none" w:sz="0" w:space="0" w:color="auto"/>
        <w:bottom w:val="none" w:sz="0" w:space="0" w:color="auto"/>
        <w:right w:val="none" w:sz="0" w:space="0" w:color="auto"/>
      </w:divBdr>
      <w:divsChild>
        <w:div w:id="213276510">
          <w:marLeft w:val="0"/>
          <w:marRight w:val="0"/>
          <w:marTop w:val="0"/>
          <w:marBottom w:val="0"/>
          <w:divBdr>
            <w:top w:val="none" w:sz="0" w:space="0" w:color="auto"/>
            <w:left w:val="none" w:sz="0" w:space="0" w:color="auto"/>
            <w:bottom w:val="none" w:sz="0" w:space="0" w:color="auto"/>
            <w:right w:val="none" w:sz="0" w:space="0" w:color="auto"/>
          </w:divBdr>
          <w:divsChild>
            <w:div w:id="1223829057">
              <w:marLeft w:val="0"/>
              <w:marRight w:val="0"/>
              <w:marTop w:val="0"/>
              <w:marBottom w:val="0"/>
              <w:divBdr>
                <w:top w:val="none" w:sz="0" w:space="0" w:color="auto"/>
                <w:left w:val="none" w:sz="0" w:space="0" w:color="auto"/>
                <w:bottom w:val="none" w:sz="0" w:space="0" w:color="auto"/>
                <w:right w:val="none" w:sz="0" w:space="0" w:color="auto"/>
              </w:divBdr>
              <w:divsChild>
                <w:div w:id="1026253746">
                  <w:marLeft w:val="0"/>
                  <w:marRight w:val="0"/>
                  <w:marTop w:val="100"/>
                  <w:marBottom w:val="100"/>
                  <w:divBdr>
                    <w:top w:val="none" w:sz="0" w:space="0" w:color="auto"/>
                    <w:left w:val="none" w:sz="0" w:space="0" w:color="auto"/>
                    <w:bottom w:val="none" w:sz="0" w:space="0" w:color="auto"/>
                    <w:right w:val="none" w:sz="0" w:space="0" w:color="auto"/>
                  </w:divBdr>
                  <w:divsChild>
                    <w:div w:id="1478492979">
                      <w:marLeft w:val="1"/>
                      <w:marRight w:val="1"/>
                      <w:marTop w:val="240"/>
                      <w:marBottom w:val="0"/>
                      <w:divBdr>
                        <w:top w:val="none" w:sz="0" w:space="0" w:color="auto"/>
                        <w:left w:val="none" w:sz="0" w:space="0" w:color="auto"/>
                        <w:bottom w:val="none" w:sz="0" w:space="0" w:color="auto"/>
                        <w:right w:val="none" w:sz="0" w:space="0" w:color="auto"/>
                      </w:divBdr>
                      <w:divsChild>
                        <w:div w:id="117143095">
                          <w:marLeft w:val="-1"/>
                          <w:marRight w:val="-1"/>
                          <w:marTop w:val="0"/>
                          <w:marBottom w:val="0"/>
                          <w:divBdr>
                            <w:top w:val="none" w:sz="0" w:space="0" w:color="auto"/>
                            <w:left w:val="none" w:sz="0" w:space="0" w:color="auto"/>
                            <w:bottom w:val="none" w:sz="0" w:space="0" w:color="auto"/>
                            <w:right w:val="none" w:sz="0" w:space="0" w:color="auto"/>
                          </w:divBdr>
                          <w:divsChild>
                            <w:div w:id="50909914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30108">
      <w:bodyDiv w:val="1"/>
      <w:marLeft w:val="0"/>
      <w:marRight w:val="0"/>
      <w:marTop w:val="0"/>
      <w:marBottom w:val="0"/>
      <w:divBdr>
        <w:top w:val="none" w:sz="0" w:space="0" w:color="auto"/>
        <w:left w:val="none" w:sz="0" w:space="0" w:color="auto"/>
        <w:bottom w:val="none" w:sz="0" w:space="0" w:color="auto"/>
        <w:right w:val="none" w:sz="0" w:space="0" w:color="auto"/>
      </w:divBdr>
    </w:div>
    <w:div w:id="1519153803">
      <w:bodyDiv w:val="1"/>
      <w:marLeft w:val="0"/>
      <w:marRight w:val="0"/>
      <w:marTop w:val="0"/>
      <w:marBottom w:val="0"/>
      <w:divBdr>
        <w:top w:val="none" w:sz="0" w:space="0" w:color="auto"/>
        <w:left w:val="none" w:sz="0" w:space="0" w:color="auto"/>
        <w:bottom w:val="none" w:sz="0" w:space="0" w:color="auto"/>
        <w:right w:val="none" w:sz="0" w:space="0" w:color="auto"/>
      </w:divBdr>
    </w:div>
    <w:div w:id="1599219749">
      <w:bodyDiv w:val="1"/>
      <w:marLeft w:val="0"/>
      <w:marRight w:val="0"/>
      <w:marTop w:val="0"/>
      <w:marBottom w:val="0"/>
      <w:divBdr>
        <w:top w:val="none" w:sz="0" w:space="0" w:color="auto"/>
        <w:left w:val="none" w:sz="0" w:space="0" w:color="auto"/>
        <w:bottom w:val="none" w:sz="0" w:space="0" w:color="auto"/>
        <w:right w:val="none" w:sz="0" w:space="0" w:color="auto"/>
      </w:divBdr>
    </w:div>
    <w:div w:id="1837725097">
      <w:bodyDiv w:val="1"/>
      <w:marLeft w:val="0"/>
      <w:marRight w:val="0"/>
      <w:marTop w:val="0"/>
      <w:marBottom w:val="0"/>
      <w:divBdr>
        <w:top w:val="none" w:sz="0" w:space="0" w:color="auto"/>
        <w:left w:val="none" w:sz="0" w:space="0" w:color="auto"/>
        <w:bottom w:val="none" w:sz="0" w:space="0" w:color="auto"/>
        <w:right w:val="none" w:sz="0" w:space="0" w:color="auto"/>
      </w:divBdr>
    </w:div>
    <w:div w:id="1871721576">
      <w:bodyDiv w:val="1"/>
      <w:marLeft w:val="0"/>
      <w:marRight w:val="0"/>
      <w:marTop w:val="0"/>
      <w:marBottom w:val="0"/>
      <w:divBdr>
        <w:top w:val="none" w:sz="0" w:space="0" w:color="auto"/>
        <w:left w:val="none" w:sz="0" w:space="0" w:color="auto"/>
        <w:bottom w:val="none" w:sz="0" w:space="0" w:color="auto"/>
        <w:right w:val="none" w:sz="0" w:space="0" w:color="auto"/>
      </w:divBdr>
    </w:div>
    <w:div w:id="21001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1.asic.gov.au\ds\appHome\Office%202016\ASIC%20Templates\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R20200000734895</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NotesLinks xmlns="da7a9ac0-bc47-4684-84e6-3a8e9ac80c12" xsi:nil="true"/>
    <TaxCatchAll xmlns="beb4cffa-a87e-476d-882d-4d3866992d4f">
      <Value>9</Value>
    </TaxCatchAll>
    <o4e27953845640a0bff56e76153fbe6a xmlns="beb4cffa-a87e-476d-882d-4d3866992d4f">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6eccc17f-024b-41b0-b6b1-faf98d2aff85</TermId>
        </TermInfo>
      </Terms>
    </o4e27953845640a0bff56e76153fbe6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8BA223113DC9744A89C85F515BBBFA90" ma:contentTypeVersion="19" ma:contentTypeDescription="" ma:contentTypeScope="" ma:versionID="b8a838c5573d190e18b4a8ea3b7ba24a">
  <xsd:schema xmlns:xsd="http://www.w3.org/2001/XMLSchema" xmlns:xs="http://www.w3.org/2001/XMLSchema" xmlns:p="http://schemas.microsoft.com/office/2006/metadata/properties" xmlns:ns2="da7a9ac0-bc47-4684-84e6-3a8e9ac80c12" xmlns:ns3="beb4cffa-a87e-476d-882d-4d3866992d4f" xmlns:ns4="17f478ab-373e-4295-9ff0-9b833ad01319" targetNamespace="http://schemas.microsoft.com/office/2006/metadata/properties" ma:root="true" ma:fieldsID="f0475f397d65a6bde2807eb8f130fe5f" ns2:_="" ns3:_="" ns4:_="">
    <xsd:import namespace="da7a9ac0-bc47-4684-84e6-3a8e9ac80c12"/>
    <xsd:import namespace="beb4cffa-a87e-476d-882d-4d3866992d4f"/>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o4e27953845640a0bff56e76153fbe6a" minOccurs="0"/>
                <xsd:element ref="ns2:NotesLinks" minOccurs="0"/>
                <xsd:element ref="ns4:Reviewers" minOccurs="0"/>
                <xsd:element ref="ns4: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8"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4cffa-a87e-476d-882d-4d3866992d4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021960-3431-440c-bd63-c5b03cf2a8e7}" ma:internalName="TaxCatchAll" ma:showField="CatchAllData" ma:web="beb4cffa-a87e-476d-882d-4d3866992d4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021960-3431-440c-bd63-c5b03cf2a8e7}" ma:internalName="TaxCatchAllLabel" ma:readOnly="true" ma:showField="CatchAllDataLabel" ma:web="beb4cffa-a87e-476d-882d-4d3866992d4f">
      <xsd:complexType>
        <xsd:complexContent>
          <xsd:extension base="dms:MultiChoiceLookup">
            <xsd:sequence>
              <xsd:element name="Value" type="dms:Lookup" maxOccurs="unbounded" minOccurs="0" nillable="true"/>
            </xsd:sequence>
          </xsd:extension>
        </xsd:complexContent>
      </xsd:complexType>
    </xsd:element>
    <xsd:element name="o4e27953845640a0bff56e76153fbe6a" ma:index="17" ma:taxonomy="true" ma:internalName="o4e27953845640a0bff56e76153fbe6a" ma:taxonomyFieldName="SecurityClassification" ma:displayName="Security Classification" ma:readOnly="false" ma:default="-1;#OFFICIAL - Sensitive|6eccc17f-024b-41b0-b6b1-faf98d2aff85" ma:fieldId="{84e27953-8456-40a0-bff5-6e76153fbe6a}"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D0D8-F55D-4AF2-97E4-C9B5E802ACCC}">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17f478ab-373e-4295-9ff0-9b833ad01319"/>
    <ds:schemaRef ds:uri="beb4cffa-a87e-476d-882d-4d3866992d4f"/>
    <ds:schemaRef ds:uri="da7a9ac0-bc47-4684-84e6-3a8e9ac80c12"/>
    <ds:schemaRef ds:uri="http://www.w3.org/XML/1998/namespace"/>
  </ds:schemaRefs>
</ds:datastoreItem>
</file>

<file path=customXml/itemProps2.xml><?xml version="1.0" encoding="utf-8"?>
<ds:datastoreItem xmlns:ds="http://schemas.openxmlformats.org/officeDocument/2006/customXml" ds:itemID="{732D7D4A-7396-4AB8-98DD-ADCA8E457032}">
  <ds:schemaRefs>
    <ds:schemaRef ds:uri="http://schemas.microsoft.com/sharepoint/v3/contenttype/forms"/>
  </ds:schemaRefs>
</ds:datastoreItem>
</file>

<file path=customXml/itemProps3.xml><?xml version="1.0" encoding="utf-8"?>
<ds:datastoreItem xmlns:ds="http://schemas.openxmlformats.org/officeDocument/2006/customXml" ds:itemID="{E8114CB7-63AA-49E9-A495-B9D2BACA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beb4cffa-a87e-476d-882d-4d3866992d4f"/>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3542E-551C-428D-AFE6-CED297CE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2</TotalTime>
  <Pages>14</Pages>
  <Words>4472</Words>
  <Characters>23376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Consultation Paper CP 334 Proposed changes to simplify the ASIC Derivative Transaction Rules (Reporting): First consultation</vt:lpstr>
    </vt:vector>
  </TitlesOfParts>
  <Company/>
  <LinksUpToDate>false</LinksUpToDate>
  <CharactersWithSpaces>27793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CP 334 Proposed changes to simplify the ASIC Derivative Transaction Rules (Reporting): First consultation</dc:title>
  <dc:subject>Consultation Paper CP 334 Proposed changes to simplify the ASIC Derivative Transaction Rules (Reporting): First consultation</dc:subject>
  <dc:creator>ASIC</dc:creator>
  <cp:keywords>Consultation Paper CP 334 Proposed changes to simplify the ASIC Derivative Transaction Rules (Reporting): First consultation</cp:keywords>
  <dc:description/>
  <cp:lastModifiedBy>Craig McBurnie</cp:lastModifiedBy>
  <cp:revision>3</cp:revision>
  <cp:lastPrinted>2020-11-16T23:09:00Z</cp:lastPrinted>
  <dcterms:created xsi:type="dcterms:W3CDTF">2020-12-14T04:08:00Z</dcterms:created>
  <dcterms:modified xsi:type="dcterms:W3CDTF">2020-12-14T04:09:00Z</dcterms:modified>
  <cp:category>consultation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CONSULTATION PAPER</vt:lpwstr>
  </property>
  <property fmtid="{D5CDD505-2E9C-101B-9397-08002B2CF9AE}" pid="3" name="Document title">
    <vt:lpwstr>Proposed changes to simplify the ASIC Derivative Transaction Rules (Reporting): First consultation</vt:lpwstr>
  </property>
  <property fmtid="{D5CDD505-2E9C-101B-9397-08002B2CF9AE}" pid="4" name="Document num">
    <vt:lpwstr>334</vt:lpwstr>
  </property>
  <property fmtid="{D5CDD505-2E9C-101B-9397-08002B2CF9AE}" pid="5" name="Issue date">
    <vt:lpwstr>November 2020</vt:lpwstr>
  </property>
  <property fmtid="{D5CDD505-2E9C-101B-9397-08002B2CF9AE}" pid="6" name="Source file type">
    <vt:lpwstr>CP</vt:lpwstr>
  </property>
  <property fmtid="{D5CDD505-2E9C-101B-9397-08002B2CF9AE}" pid="7" name="ContentTypeId">
    <vt:lpwstr>0x010100B5F685A1365F544391EF8C813B164F3A008BA223113DC9744A89C85F515BBBFA90</vt:lpwstr>
  </property>
  <property fmtid="{D5CDD505-2E9C-101B-9397-08002B2CF9AE}" pid="8" name="SecurityClassification">
    <vt:lpwstr>9;#OFFICIAL - Sensitive|6eccc17f-024b-41b0-b6b1-faf98d2aff85</vt:lpwstr>
  </property>
  <property fmtid="{D5CDD505-2E9C-101B-9397-08002B2CF9AE}" pid="10" name="RecordPoint_WorkflowType">
    <vt:lpwstr>ActiveSubmitStub</vt:lpwstr>
  </property>
  <property fmtid="{D5CDD505-2E9C-101B-9397-08002B2CF9AE}" pid="13" name="RecordPoint_ActiveItemUniqueId">
    <vt:lpwstr>{a46a2111-a37b-48c4-8d80-c2556093ed4a}</vt:lpwstr>
  </property>
  <property fmtid="{D5CDD505-2E9C-101B-9397-08002B2CF9AE}" pid="14" name="RecordPoint_ActiveItemWebId">
    <vt:lpwstr>{beb4cffa-a87e-476d-882d-4d3866992d4f}</vt:lpwstr>
  </property>
  <property fmtid="{D5CDD505-2E9C-101B-9397-08002B2CF9AE}" pid="15" name="RecordPoint_ActiveItemSiteId">
    <vt:lpwstr>{17c60cf1-008c-4115-82e5-e12b1392a9ba}</vt:lpwstr>
  </property>
  <property fmtid="{D5CDD505-2E9C-101B-9397-08002B2CF9AE}" pid="16" name="RecordPoint_ActiveItemListId">
    <vt:lpwstr>{eff5351a-b648-4586-ad2b-124cbe458711}</vt:lpwstr>
  </property>
  <property fmtid="{D5CDD505-2E9C-101B-9397-08002B2CF9AE}" pid="17" name="RecordPoint_RecordNumberSubmitted">
    <vt:lpwstr>R20200000734895</vt:lpwstr>
  </property>
  <property fmtid="{D5CDD505-2E9C-101B-9397-08002B2CF9AE}" pid="18" name="RecordPoint_SubmissionCompleted">
    <vt:lpwstr>2020-12-14T15:10:38.9871553+11:00</vt:lpwstr>
  </property>
</Properties>
</file>