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82D3" w14:textId="77777777" w:rsidR="00F401A2" w:rsidRPr="00C2072E" w:rsidRDefault="00F401A2" w:rsidP="00447EEF">
      <w:pPr>
        <w:pStyle w:val="BodyText"/>
        <w:spacing w:before="0"/>
        <w:rPr>
          <w:b/>
          <w:sz w:val="40"/>
          <w:szCs w:val="40"/>
        </w:rPr>
      </w:pPr>
      <w:bookmarkStart w:id="0" w:name="_Ref472955176"/>
      <w:bookmarkStart w:id="1" w:name="_Ref472335407"/>
      <w:bookmarkStart w:id="2" w:name="_Toc481158256"/>
      <w:r w:rsidRPr="00C2072E">
        <w:rPr>
          <w:b/>
          <w:sz w:val="40"/>
          <w:szCs w:val="40"/>
        </w:rPr>
        <w:t xml:space="preserve">Appendix: </w:t>
      </w:r>
      <w:bookmarkEnd w:id="0"/>
      <w:bookmarkEnd w:id="1"/>
      <w:r w:rsidRPr="00C2072E">
        <w:rPr>
          <w:b/>
          <w:sz w:val="40"/>
          <w:szCs w:val="40"/>
        </w:rPr>
        <w:t>Template CSF offer document</w:t>
      </w:r>
      <w:bookmarkEnd w:id="2"/>
    </w:p>
    <w:p w14:paraId="6795C705" w14:textId="77777777" w:rsidR="00DC695E" w:rsidRDefault="00DC695E" w:rsidP="00345A79">
      <w:pPr>
        <w:pStyle w:val="Templatecommentaryheading"/>
      </w:pPr>
      <w:bookmarkStart w:id="3" w:name="_Toc526771225"/>
      <w:r>
        <w:t>About this document</w:t>
      </w:r>
      <w:bookmarkEnd w:id="3"/>
    </w:p>
    <w:p w14:paraId="5886EDB7" w14:textId="06769322" w:rsidR="00CA6EE5" w:rsidRDefault="00DC695E" w:rsidP="00CA6EE5">
      <w:pPr>
        <w:pStyle w:val="Templatecommentarytext"/>
      </w:pPr>
      <w:r>
        <w:t xml:space="preserve">This is a template crowd-sourced funding (CSF) offer document. It is the Appendix to </w:t>
      </w:r>
      <w:hyperlink r:id="rId11" w:history="1">
        <w:r w:rsidRPr="0081575E">
          <w:rPr>
            <w:rStyle w:val="Hyperlink"/>
          </w:rPr>
          <w:t xml:space="preserve">Regulatory Guide </w:t>
        </w:r>
        <w:r w:rsidR="001013EB" w:rsidRPr="0081575E">
          <w:rPr>
            <w:rStyle w:val="Hyperlink"/>
          </w:rPr>
          <w:t>261</w:t>
        </w:r>
      </w:hyperlink>
      <w:r>
        <w:t xml:space="preserve"> Crowd-sourced funding: Guide for companies (RG </w:t>
      </w:r>
      <w:r w:rsidR="001013EB">
        <w:t>261</w:t>
      </w:r>
      <w:r>
        <w:t>), and should be read with that regulatory guide.</w:t>
      </w:r>
      <w:r w:rsidR="00F209BB">
        <w:t xml:space="preserve"> </w:t>
      </w:r>
      <w:r w:rsidR="00CA6EE5">
        <w:t>The purpose of this template CSF offer document is to provide a standard structure, accompanied by instructions and example content, to help you</w:t>
      </w:r>
      <w:r w:rsidR="001712B4">
        <w:t>r company</w:t>
      </w:r>
      <w:r w:rsidR="00CA6EE5">
        <w:t xml:space="preserve"> prepare a CSF offer document for </w:t>
      </w:r>
      <w:r w:rsidR="001712B4">
        <w:t>a CSF offer</w:t>
      </w:r>
      <w:r w:rsidR="00CA6EE5">
        <w:t>.</w:t>
      </w:r>
    </w:p>
    <w:p w14:paraId="668E8CDF" w14:textId="767510F6" w:rsidR="00FC2754" w:rsidRDefault="00CA6EE5" w:rsidP="00FC2754">
      <w:pPr>
        <w:pStyle w:val="Templatecommentarytext"/>
      </w:pPr>
      <w:r>
        <w:t xml:space="preserve">The template does not contain detailed substantive content, but provides limited examples of the type of content that should </w:t>
      </w:r>
      <w:r w:rsidR="00FF2107">
        <w:t xml:space="preserve">generally </w:t>
      </w:r>
      <w:r>
        <w:t>be included in the CSF offer document. The examples provided are based on a hypothetical and limited scenario.</w:t>
      </w:r>
      <w:r w:rsidR="00EE1E0D">
        <w:t xml:space="preserve"> </w:t>
      </w:r>
      <w:r>
        <w:t>We have designed the template as a guidance tool</w:t>
      </w:r>
      <w:r w:rsidR="009470A7">
        <w:t xml:space="preserve"> (not a prescribed form) and use of the template is optional</w:t>
      </w:r>
      <w:r>
        <w:t xml:space="preserve">. It is not a compliance tool or a mechanism to protect </w:t>
      </w:r>
      <w:r w:rsidR="00D66B90">
        <w:t>your company against liability.</w:t>
      </w:r>
    </w:p>
    <w:p w14:paraId="05BF2F64" w14:textId="77777777" w:rsidR="00FC2754" w:rsidRDefault="00FC2754" w:rsidP="00FC2754">
      <w:pPr>
        <w:pStyle w:val="Templatecommentaryheading"/>
      </w:pPr>
      <w:bookmarkStart w:id="4" w:name="_Toc526771226"/>
      <w:r>
        <w:t>Instructions</w:t>
      </w:r>
      <w:bookmarkEnd w:id="4"/>
    </w:p>
    <w:p w14:paraId="1289C3C8" w14:textId="6C29C3FB" w:rsidR="00DC695E" w:rsidRDefault="00DC695E" w:rsidP="00DC695E">
      <w:pPr>
        <w:pStyle w:val="Templatecommentarytext"/>
      </w:pPr>
      <w:r>
        <w:t xml:space="preserve">You may use this </w:t>
      </w:r>
      <w:r w:rsidR="00FC2754">
        <w:t xml:space="preserve">template </w:t>
      </w:r>
      <w:r>
        <w:t xml:space="preserve">as a starting point to draft your </w:t>
      </w:r>
      <w:r w:rsidR="00773456">
        <w:t>company</w:t>
      </w:r>
      <w:r w:rsidR="00C7359B">
        <w:t>’</w:t>
      </w:r>
      <w:r w:rsidR="00773456">
        <w:t xml:space="preserve">s </w:t>
      </w:r>
      <w:r w:rsidR="001450BD">
        <w:t xml:space="preserve">CSF </w:t>
      </w:r>
      <w:r>
        <w:t xml:space="preserve">offer document; however, you should remove all ASIC </w:t>
      </w:r>
      <w:r w:rsidR="00835AF3">
        <w:t xml:space="preserve">instructions, example text </w:t>
      </w:r>
      <w:r>
        <w:t>and headers/footers.</w:t>
      </w:r>
    </w:p>
    <w:p w14:paraId="5046C06F" w14:textId="4A31631E" w:rsidR="00646193" w:rsidRDefault="00FC2754" w:rsidP="00DC695E">
      <w:pPr>
        <w:pStyle w:val="Templatecommentarytext"/>
      </w:pPr>
      <w:r>
        <w:t xml:space="preserve">This template contains instructions about the minimum information that must </w:t>
      </w:r>
      <w:r w:rsidR="00E51BCD">
        <w:t xml:space="preserve">be </w:t>
      </w:r>
      <w:r>
        <w:t>include</w:t>
      </w:r>
      <w:r w:rsidR="00E51BCD">
        <w:t>d</w:t>
      </w:r>
      <w:r>
        <w:t xml:space="preserve"> in a CSF offer document under the Corporations Regulations</w:t>
      </w:r>
      <w:r w:rsidR="00E51BCD">
        <w:t>, including the mandatory headings for the four key sections and the order of the sections</w:t>
      </w:r>
      <w:r>
        <w:t>.</w:t>
      </w:r>
      <w:r w:rsidR="00F209BB" w:rsidRPr="00F209BB">
        <w:t xml:space="preserve"> </w:t>
      </w:r>
      <w:r w:rsidR="00F209BB">
        <w:t>Although the illustrative example in this template uses a proprietary company, t</w:t>
      </w:r>
      <w:r w:rsidR="00646193">
        <w:t>he information in this template document appl</w:t>
      </w:r>
      <w:r w:rsidR="00715AC5">
        <w:t>ies</w:t>
      </w:r>
      <w:r w:rsidR="00646193">
        <w:t xml:space="preserve"> to both public companies and proprietary companies, with the exception of section 4 – which contains different information for public</w:t>
      </w:r>
      <w:r w:rsidR="00715AC5">
        <w:t xml:space="preserve"> </w:t>
      </w:r>
      <w:r w:rsidR="00646193">
        <w:t>and proprietary companies.</w:t>
      </w:r>
    </w:p>
    <w:p w14:paraId="4A2888D4" w14:textId="0DF73E72" w:rsidR="00FC2754" w:rsidRDefault="00174756" w:rsidP="00DC695E">
      <w:pPr>
        <w:pStyle w:val="Templatecommentarytext"/>
      </w:pPr>
      <w:r>
        <w:t xml:space="preserve">Information within each section </w:t>
      </w:r>
      <w:r w:rsidR="00042C87">
        <w:t xml:space="preserve">is not required to follow </w:t>
      </w:r>
      <w:r w:rsidR="00B30A87">
        <w:t>a prescribed</w:t>
      </w:r>
      <w:r>
        <w:t xml:space="preserve"> order</w:t>
      </w:r>
      <w:r w:rsidR="004F2EDE">
        <w:t xml:space="preserve"> and </w:t>
      </w:r>
      <w:r w:rsidR="00FF2571">
        <w:t xml:space="preserve">you may </w:t>
      </w:r>
      <w:r w:rsidR="00FE1CE5">
        <w:t xml:space="preserve">use </w:t>
      </w:r>
      <w:r w:rsidR="004F2EDE">
        <w:t xml:space="preserve">cross-references </w:t>
      </w:r>
      <w:r w:rsidR="00CC68CB">
        <w:t xml:space="preserve">to information </w:t>
      </w:r>
      <w:r w:rsidR="004F2EDE">
        <w:t>within the document, where information would otherwise be duplicated</w:t>
      </w:r>
      <w:r>
        <w:t xml:space="preserve">. </w:t>
      </w:r>
      <w:r w:rsidR="00575520">
        <w:t xml:space="preserve">You may attach other documents to the </w:t>
      </w:r>
      <w:r w:rsidR="00AE123A">
        <w:t xml:space="preserve">CSF </w:t>
      </w:r>
      <w:r w:rsidR="00575520">
        <w:t>offer document, but</w:t>
      </w:r>
      <w:r w:rsidR="00B7136C">
        <w:t>,</w:t>
      </w:r>
      <w:r w:rsidR="00575520">
        <w:t xml:space="preserve"> in certain cases</w:t>
      </w:r>
      <w:r w:rsidR="00B7136C">
        <w:t>,</w:t>
      </w:r>
      <w:r w:rsidR="00575520">
        <w:t xml:space="preserve"> a summary of the information in the </w:t>
      </w:r>
      <w:r w:rsidR="00356FF6">
        <w:t>appendi</w:t>
      </w:r>
      <w:r w:rsidR="003F2014">
        <w:t>ces</w:t>
      </w:r>
      <w:r w:rsidR="00575520">
        <w:t xml:space="preserve"> must </w:t>
      </w:r>
      <w:r w:rsidR="003F2014">
        <w:t xml:space="preserve">also </w:t>
      </w:r>
      <w:r w:rsidR="00575520">
        <w:t xml:space="preserve">be contained in the </w:t>
      </w:r>
      <w:r w:rsidR="00AE123A">
        <w:t xml:space="preserve">CSF </w:t>
      </w:r>
      <w:r w:rsidR="00575520">
        <w:t xml:space="preserve">offer document itself. </w:t>
      </w:r>
      <w:r w:rsidR="004F2EDE">
        <w:t>We have provided c</w:t>
      </w:r>
      <w:r w:rsidR="00F36312">
        <w:t xml:space="preserve">ross-references to </w:t>
      </w:r>
      <w:r w:rsidR="004F2EDE">
        <w:t xml:space="preserve">where </w:t>
      </w:r>
      <w:r w:rsidR="00F36312">
        <w:t xml:space="preserve">more detailed guidance </w:t>
      </w:r>
      <w:r w:rsidR="00490F76">
        <w:t xml:space="preserve">can be found </w:t>
      </w:r>
      <w:r w:rsidR="00F36312">
        <w:t xml:space="preserve">in Section D of </w:t>
      </w:r>
      <w:hyperlink r:id="rId12" w:history="1">
        <w:r w:rsidR="00F36312" w:rsidRPr="00B7136C">
          <w:rPr>
            <w:rStyle w:val="Hyperlink"/>
          </w:rPr>
          <w:t xml:space="preserve">RG </w:t>
        </w:r>
        <w:r w:rsidR="001013EB" w:rsidRPr="00B7136C">
          <w:rPr>
            <w:rStyle w:val="Hyperlink"/>
          </w:rPr>
          <w:t>261</w:t>
        </w:r>
      </w:hyperlink>
      <w:r w:rsidR="00F36312">
        <w:t>.</w:t>
      </w:r>
    </w:p>
    <w:p w14:paraId="35B90C43" w14:textId="38D0FC20" w:rsidR="00D3201C" w:rsidRDefault="00FC2754" w:rsidP="00DC695E">
      <w:pPr>
        <w:pStyle w:val="Templatecommentarytext"/>
      </w:pPr>
      <w:r>
        <w:t xml:space="preserve">The information in your </w:t>
      </w:r>
      <w:r w:rsidR="00773456">
        <w:t>company</w:t>
      </w:r>
      <w:r w:rsidR="00C7359B">
        <w:t>’</w:t>
      </w:r>
      <w:r w:rsidR="00773456">
        <w:t xml:space="preserve">s </w:t>
      </w:r>
      <w:r>
        <w:t>CSF offer document should be ta</w:t>
      </w:r>
      <w:r w:rsidR="00900EE4">
        <w:t xml:space="preserve">ilored </w:t>
      </w:r>
      <w:r w:rsidR="00B836B3">
        <w:t xml:space="preserve">to </w:t>
      </w:r>
      <w:r w:rsidR="00900EE4">
        <w:t>your</w:t>
      </w:r>
      <w:r>
        <w:t xml:space="preserve"> company and we recognise that the content and length of a CSF offer document will vary </w:t>
      </w:r>
      <w:r w:rsidR="001819D2">
        <w:t>from</w:t>
      </w:r>
      <w:r w:rsidR="00D66B90">
        <w:t xml:space="preserve"> company</w:t>
      </w:r>
      <w:r w:rsidR="001819D2">
        <w:t xml:space="preserve"> to company</w:t>
      </w:r>
      <w:r w:rsidR="00D66B90">
        <w:t>.</w:t>
      </w:r>
      <w:r w:rsidR="00292C62">
        <w:t xml:space="preserve"> </w:t>
      </w:r>
      <w:r w:rsidR="00D3201C">
        <w:t xml:space="preserve">When drafting your </w:t>
      </w:r>
      <w:r w:rsidR="00773456">
        <w:t>company</w:t>
      </w:r>
      <w:r w:rsidR="00C7359B">
        <w:t>’</w:t>
      </w:r>
      <w:r w:rsidR="002B3096">
        <w:t xml:space="preserve">s </w:t>
      </w:r>
      <w:r w:rsidR="00D3201C">
        <w:t>CS</w:t>
      </w:r>
      <w:r w:rsidR="00D30BB1">
        <w:t>F</w:t>
      </w:r>
      <w:r w:rsidR="00D3201C">
        <w:t xml:space="preserve"> offer document</w:t>
      </w:r>
      <w:r w:rsidR="00A056B3">
        <w:t>,</w:t>
      </w:r>
      <w:r w:rsidR="001712B4">
        <w:t xml:space="preserve"> </w:t>
      </w:r>
      <w:r w:rsidR="002B3096">
        <w:t>you should</w:t>
      </w:r>
      <w:r w:rsidR="00D3201C">
        <w:t>:</w:t>
      </w:r>
    </w:p>
    <w:p w14:paraId="17182AAD" w14:textId="78D9D764" w:rsidR="00FC2754" w:rsidRDefault="00EE4372" w:rsidP="00D3201C">
      <w:pPr>
        <w:pStyle w:val="Templatecommentarylist"/>
      </w:pPr>
      <w:r>
        <w:t>avoid making the</w:t>
      </w:r>
      <w:r w:rsidR="00FC2754">
        <w:t xml:space="preserve"> document </w:t>
      </w:r>
      <w:r>
        <w:t>too long – focus on information that is required</w:t>
      </w:r>
      <w:r w:rsidR="00DB19B1">
        <w:t xml:space="preserve"> by law</w:t>
      </w:r>
      <w:r>
        <w:t xml:space="preserve">, </w:t>
      </w:r>
      <w:r w:rsidR="00DB19B1">
        <w:t xml:space="preserve">is </w:t>
      </w:r>
      <w:r>
        <w:t xml:space="preserve">material </w:t>
      </w:r>
      <w:r w:rsidR="00DB19B1">
        <w:t>to investors</w:t>
      </w:r>
      <w:r w:rsidR="00C7359B">
        <w:t>’</w:t>
      </w:r>
      <w:r w:rsidR="00DB19B1">
        <w:t xml:space="preserve"> decision</w:t>
      </w:r>
      <w:r w:rsidR="00B55690">
        <w:t>s</w:t>
      </w:r>
      <w:r w:rsidR="00DB19B1">
        <w:t xml:space="preserve"> </w:t>
      </w:r>
      <w:r>
        <w:t xml:space="preserve">or </w:t>
      </w:r>
      <w:r w:rsidR="00DB19B1">
        <w:t xml:space="preserve">may be </w:t>
      </w:r>
      <w:r>
        <w:t>useful for investors</w:t>
      </w:r>
      <w:r w:rsidR="00DB19B1">
        <w:t xml:space="preserve"> to know</w:t>
      </w:r>
    </w:p>
    <w:p w14:paraId="1529FB81" w14:textId="6ADB4F2A" w:rsidR="008C4D47" w:rsidRDefault="00900EE4" w:rsidP="00D3201C">
      <w:pPr>
        <w:pStyle w:val="Templatecommentarylist"/>
      </w:pPr>
      <w:r>
        <w:t xml:space="preserve">use plain language </w:t>
      </w:r>
      <w:r w:rsidR="00A62174">
        <w:t>to</w:t>
      </w:r>
      <w:r>
        <w:t xml:space="preserve"> assist investors in </w:t>
      </w:r>
      <w:r w:rsidR="00A62174">
        <w:t>understanding the information</w:t>
      </w:r>
    </w:p>
    <w:p w14:paraId="73F9DA9F" w14:textId="77777777" w:rsidR="009470A7" w:rsidRDefault="00D30BB1" w:rsidP="00FF2571">
      <w:pPr>
        <w:pStyle w:val="Templatecommentarylist"/>
      </w:pPr>
      <w:r>
        <w:t>w</w:t>
      </w:r>
      <w:r w:rsidR="00900EE4">
        <w:t xml:space="preserve">here appropriate, use tables, charts and other </w:t>
      </w:r>
      <w:r w:rsidR="00D3201C">
        <w:t>visual tools</w:t>
      </w:r>
      <w:r w:rsidR="008C4D47">
        <w:t xml:space="preserve"> to present information in a way that </w:t>
      </w:r>
      <w:r w:rsidR="006A7EDF">
        <w:t xml:space="preserve">is </w:t>
      </w:r>
      <w:r w:rsidR="008C4D47">
        <w:t xml:space="preserve">easy for investors to </w:t>
      </w:r>
      <w:r w:rsidR="001712B4">
        <w:t>read</w:t>
      </w:r>
      <w:r w:rsidR="008C4D47">
        <w:t>.</w:t>
      </w:r>
    </w:p>
    <w:p w14:paraId="16B78540" w14:textId="3AD4B59A" w:rsidR="00575520" w:rsidRPr="00A9469F" w:rsidRDefault="009470A7" w:rsidP="009470A7">
      <w:pPr>
        <w:pStyle w:val="Templatecommentarylist"/>
        <w:numPr>
          <w:ilvl w:val="0"/>
          <w:numId w:val="0"/>
        </w:numPr>
        <w:rPr>
          <w:spacing w:val="-2"/>
        </w:rPr>
        <w:sectPr w:rsidR="00575520" w:rsidRPr="00A9469F" w:rsidSect="00ED5B8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644" w:right="1418" w:bottom="1418" w:left="1418" w:header="567" w:footer="567" w:gutter="0"/>
          <w:pgNumType w:start="0"/>
          <w:cols w:space="720"/>
          <w:titlePg/>
          <w:docGrid w:linePitch="299"/>
        </w:sectPr>
      </w:pPr>
      <w:r w:rsidRPr="00A9469F">
        <w:rPr>
          <w:spacing w:val="-2"/>
        </w:rPr>
        <w:t>We encourage you to present and format your</w:t>
      </w:r>
      <w:r w:rsidR="00FF2571" w:rsidRPr="00A9469F">
        <w:rPr>
          <w:spacing w:val="-2"/>
        </w:rPr>
        <w:t xml:space="preserve"> company</w:t>
      </w:r>
      <w:r w:rsidR="00C7359B">
        <w:rPr>
          <w:spacing w:val="-2"/>
        </w:rPr>
        <w:t>’</w:t>
      </w:r>
      <w:r w:rsidR="00FF2571" w:rsidRPr="00A9469F">
        <w:rPr>
          <w:spacing w:val="-2"/>
        </w:rPr>
        <w:t>s</w:t>
      </w:r>
      <w:r w:rsidRPr="00A9469F">
        <w:rPr>
          <w:spacing w:val="-2"/>
        </w:rPr>
        <w:t xml:space="preserve"> CSF offer document</w:t>
      </w:r>
      <w:r w:rsidR="00575520" w:rsidRPr="00A9469F">
        <w:rPr>
          <w:spacing w:val="-2"/>
        </w:rPr>
        <w:t xml:space="preserve"> in a commonly used digital format, so that it can be easily accessed, downloaded and saved by investors.</w:t>
      </w:r>
    </w:p>
    <w:p w14:paraId="1726824F" w14:textId="37BF5C73" w:rsidR="000E550A" w:rsidRPr="006B7792" w:rsidRDefault="000E550A" w:rsidP="001A2117">
      <w:pPr>
        <w:pStyle w:val="Documenttitle"/>
      </w:pPr>
      <w:r w:rsidRPr="006B7792">
        <w:lastRenderedPageBreak/>
        <w:t>New Co</w:t>
      </w:r>
      <w:r w:rsidR="00EB1FCF">
        <w:t xml:space="preserve"> Pty</w:t>
      </w:r>
      <w:r w:rsidR="00D84B9E">
        <w:t> </w:t>
      </w:r>
      <w:r w:rsidRPr="006B7792">
        <w:t>Ltd</w:t>
      </w:r>
    </w:p>
    <w:p w14:paraId="3B61C35A" w14:textId="77777777" w:rsidR="000E550A" w:rsidRPr="006B7792" w:rsidRDefault="000E550A" w:rsidP="006B7792">
      <w:pPr>
        <w:pStyle w:val="Coverpage1"/>
      </w:pPr>
      <w:r w:rsidRPr="006B7792">
        <w:t>C</w:t>
      </w:r>
      <w:r w:rsidR="00A84D6F" w:rsidRPr="006B7792">
        <w:t>rowd-sourced funding</w:t>
      </w:r>
      <w:r w:rsidRPr="006B7792">
        <w:t xml:space="preserve"> </w:t>
      </w:r>
      <w:r w:rsidR="00A84D6F" w:rsidRPr="006B7792">
        <w:t>o</w:t>
      </w:r>
      <w:r w:rsidRPr="006B7792">
        <w:t>ffer</w:t>
      </w:r>
      <w:r w:rsidR="00A84D6F" w:rsidRPr="006B7792">
        <w:t> d</w:t>
      </w:r>
      <w:r w:rsidRPr="006B7792">
        <w:t>ocument</w:t>
      </w:r>
    </w:p>
    <w:p w14:paraId="30902571" w14:textId="77777777" w:rsidR="000E550A" w:rsidRDefault="000E550A" w:rsidP="006B7792">
      <w:pPr>
        <w:pStyle w:val="Coverpage2"/>
      </w:pPr>
      <w:r w:rsidRPr="006B7792">
        <w:t>dated [day] [month] [year]</w:t>
      </w:r>
    </w:p>
    <w:p w14:paraId="24F94069" w14:textId="584904F0" w:rsidR="000E550A" w:rsidRPr="006B7792" w:rsidRDefault="000E550A" w:rsidP="00CA33D6">
      <w:pPr>
        <w:pStyle w:val="Coverpage3"/>
      </w:pPr>
      <w:r w:rsidRPr="006B7792">
        <w:t>Offer of fully-pa</w:t>
      </w:r>
      <w:bookmarkStart w:id="5" w:name="_GoBack"/>
      <w:bookmarkEnd w:id="5"/>
      <w:r w:rsidRPr="006B7792">
        <w:t xml:space="preserve">id ordinary shares in New Co </w:t>
      </w:r>
      <w:r w:rsidR="00A056B3">
        <w:t xml:space="preserve">Pty </w:t>
      </w:r>
      <w:r w:rsidRPr="006B7792">
        <w:t>L</w:t>
      </w:r>
      <w:r w:rsidR="00A056B3">
        <w:t>td</w:t>
      </w:r>
      <w:r w:rsidRPr="006B7792">
        <w:t xml:space="preserve"> at $1 per share to raise a maximum of $1,000,000</w:t>
      </w:r>
    </w:p>
    <w:p w14:paraId="0928C641" w14:textId="3FFA7AB0" w:rsidR="000E550A" w:rsidRDefault="000E550A" w:rsidP="00CF3399">
      <w:pPr>
        <w:pStyle w:val="BodyText"/>
        <w:rPr>
          <w:i/>
        </w:rPr>
      </w:pPr>
      <w:r w:rsidRPr="006B45D0">
        <w:t xml:space="preserve">This </w:t>
      </w:r>
      <w:r w:rsidR="005A267A">
        <w:t>crowd-sourced funding (</w:t>
      </w:r>
      <w:r w:rsidRPr="006B45D0">
        <w:t>CSF</w:t>
      </w:r>
      <w:r w:rsidR="005A267A">
        <w:t>)</w:t>
      </w:r>
      <w:r w:rsidRPr="006B45D0">
        <w:t xml:space="preserve"> offer document relates to </w:t>
      </w:r>
      <w:r w:rsidR="00AB0DD0">
        <w:t>the</w:t>
      </w:r>
      <w:r w:rsidRPr="006B45D0">
        <w:t xml:space="preserve"> </w:t>
      </w:r>
      <w:r w:rsidR="008051B2">
        <w:t>O</w:t>
      </w:r>
      <w:r w:rsidRPr="006B45D0">
        <w:t xml:space="preserve">ffer of fully-paid ordinary shares in New Co </w:t>
      </w:r>
      <w:r w:rsidR="00523962">
        <w:t xml:space="preserve">Pty </w:t>
      </w:r>
      <w:r w:rsidRPr="006B45D0">
        <w:t xml:space="preserve">Ltd. This </w:t>
      </w:r>
      <w:r w:rsidR="00AB0DD0">
        <w:t>O</w:t>
      </w:r>
      <w:r w:rsidRPr="006B45D0">
        <w:t xml:space="preserve">ffer is made under the </w:t>
      </w:r>
      <w:r w:rsidR="00A84D6F">
        <w:t xml:space="preserve">CSF </w:t>
      </w:r>
      <w:r>
        <w:t>regime in Part 6D.3A</w:t>
      </w:r>
      <w:r w:rsidRPr="006B45D0">
        <w:t xml:space="preserve"> of the </w:t>
      </w:r>
      <w:r w:rsidRPr="006B45D0">
        <w:rPr>
          <w:i/>
        </w:rPr>
        <w:t>Corporations Act 2001</w:t>
      </w:r>
      <w:r w:rsidR="00AB0DD0">
        <w:t xml:space="preserve"> (Corporations Act)</w:t>
      </w:r>
      <w:r w:rsidR="00A84D6F" w:rsidRPr="00A84D6F">
        <w:rPr>
          <w:i/>
        </w:rPr>
        <w:t>.</w:t>
      </w:r>
    </w:p>
    <w:p w14:paraId="7C4A5160" w14:textId="77777777" w:rsidR="000E550A" w:rsidRPr="00447EEF" w:rsidRDefault="000E550A" w:rsidP="00447EEF">
      <w:pPr>
        <w:pStyle w:val="Coverpage4"/>
      </w:pPr>
      <w:r w:rsidRPr="00447EEF">
        <w:t>Issuer</w:t>
      </w:r>
    </w:p>
    <w:p w14:paraId="4A20BEB2" w14:textId="4A565D49" w:rsidR="000E550A" w:rsidRPr="00AF2E61" w:rsidRDefault="000E550A" w:rsidP="001D12B1">
      <w:pPr>
        <w:pStyle w:val="Coverpage5"/>
        <w:rPr>
          <w:b/>
          <w:color w:val="365F91"/>
        </w:rPr>
      </w:pPr>
      <w:r>
        <w:t xml:space="preserve">New Co </w:t>
      </w:r>
      <w:r w:rsidR="00CA6D7E">
        <w:t xml:space="preserve">Pty </w:t>
      </w:r>
      <w:r>
        <w:t>Ltd ACN 123 456 789</w:t>
      </w:r>
    </w:p>
    <w:p w14:paraId="65407F04" w14:textId="77777777" w:rsidR="000E550A" w:rsidRPr="0064399C" w:rsidRDefault="000E550A" w:rsidP="00447EEF">
      <w:pPr>
        <w:pStyle w:val="Coverpage4"/>
      </w:pPr>
      <w:r w:rsidRPr="0064399C">
        <w:t>Intermediary</w:t>
      </w:r>
    </w:p>
    <w:p w14:paraId="765599D0" w14:textId="77777777" w:rsidR="00B877FC" w:rsidRPr="00B877FC" w:rsidRDefault="000E550A" w:rsidP="001D12B1">
      <w:pPr>
        <w:pStyle w:val="Coverpage5"/>
      </w:pPr>
      <w:r w:rsidRPr="006770DB">
        <w:t xml:space="preserve">CSF Intermediary Co </w:t>
      </w:r>
      <w:r>
        <w:t xml:space="preserve">Limited </w:t>
      </w:r>
      <w:r w:rsidRPr="006770DB">
        <w:t xml:space="preserve">AFSL </w:t>
      </w:r>
      <w:r>
        <w:t>123 456</w:t>
      </w:r>
    </w:p>
    <w:p w14:paraId="4CFAA6D7" w14:textId="77777777" w:rsidR="005468D4" w:rsidRPr="003F3291" w:rsidRDefault="005468D4" w:rsidP="00046361">
      <w:pPr>
        <w:pStyle w:val="TOCHeading1"/>
      </w:pPr>
      <w:r w:rsidRPr="003F3291">
        <w:lastRenderedPageBreak/>
        <w:t>Contents</w:t>
      </w:r>
    </w:p>
    <w:p w14:paraId="2138F3D8" w14:textId="2C4AC140" w:rsidR="00B225FC" w:rsidRDefault="003F3291">
      <w:pPr>
        <w:pStyle w:val="TOC1"/>
        <w:tabs>
          <w:tab w:val="right" w:leader="dot" w:pos="9060"/>
        </w:tabs>
        <w:rPr>
          <w:rFonts w:asciiTheme="minorHAnsi" w:eastAsiaTheme="minorEastAsia" w:hAnsiTheme="minorHAnsi" w:cstheme="minorBidi"/>
          <w:b w:val="0"/>
          <w:noProof/>
          <w:szCs w:val="22"/>
          <w:lang w:eastAsia="en-AU"/>
        </w:rPr>
      </w:pPr>
      <w:r>
        <w:rPr>
          <w:b w:val="0"/>
        </w:rPr>
        <w:fldChar w:fldCharType="begin"/>
      </w:r>
      <w:r>
        <w:rPr>
          <w:b w:val="0"/>
        </w:rPr>
        <w:instrText xml:space="preserve"> TOC \o "1-2" \h \z \u </w:instrText>
      </w:r>
      <w:r>
        <w:rPr>
          <w:b w:val="0"/>
        </w:rPr>
        <w:fldChar w:fldCharType="separate"/>
      </w:r>
      <w:hyperlink w:anchor="_Toc526771225" w:history="1">
        <w:r w:rsidR="00B225FC" w:rsidRPr="008C3FF7">
          <w:rPr>
            <w:rStyle w:val="Hyperlink"/>
            <w:noProof/>
          </w:rPr>
          <w:t>About this document</w:t>
        </w:r>
        <w:r w:rsidR="00B225FC">
          <w:rPr>
            <w:noProof/>
            <w:webHidden/>
          </w:rPr>
          <w:tab/>
        </w:r>
        <w:r w:rsidR="00B225FC">
          <w:rPr>
            <w:noProof/>
            <w:webHidden/>
          </w:rPr>
          <w:fldChar w:fldCharType="begin"/>
        </w:r>
        <w:r w:rsidR="00B225FC">
          <w:rPr>
            <w:noProof/>
            <w:webHidden/>
          </w:rPr>
          <w:instrText xml:space="preserve"> PAGEREF _Toc526771225 \h </w:instrText>
        </w:r>
        <w:r w:rsidR="00B225FC">
          <w:rPr>
            <w:noProof/>
            <w:webHidden/>
          </w:rPr>
        </w:r>
        <w:r w:rsidR="00B225FC">
          <w:rPr>
            <w:noProof/>
            <w:webHidden/>
          </w:rPr>
          <w:fldChar w:fldCharType="separate"/>
        </w:r>
        <w:r w:rsidR="00B225FC">
          <w:rPr>
            <w:noProof/>
            <w:webHidden/>
          </w:rPr>
          <w:t>0</w:t>
        </w:r>
        <w:r w:rsidR="00B225FC">
          <w:rPr>
            <w:noProof/>
            <w:webHidden/>
          </w:rPr>
          <w:fldChar w:fldCharType="end"/>
        </w:r>
      </w:hyperlink>
    </w:p>
    <w:p w14:paraId="20EF5CC5" w14:textId="45648EC0" w:rsidR="00B225FC" w:rsidRDefault="005D580E">
      <w:pPr>
        <w:pStyle w:val="TOC1"/>
        <w:tabs>
          <w:tab w:val="right" w:leader="dot" w:pos="9060"/>
        </w:tabs>
        <w:rPr>
          <w:rFonts w:asciiTheme="minorHAnsi" w:eastAsiaTheme="minorEastAsia" w:hAnsiTheme="minorHAnsi" w:cstheme="minorBidi"/>
          <w:b w:val="0"/>
          <w:noProof/>
          <w:szCs w:val="22"/>
          <w:lang w:eastAsia="en-AU"/>
        </w:rPr>
      </w:pPr>
      <w:hyperlink w:anchor="_Toc526771226" w:history="1">
        <w:r w:rsidR="00B225FC" w:rsidRPr="008C3FF7">
          <w:rPr>
            <w:rStyle w:val="Hyperlink"/>
            <w:noProof/>
          </w:rPr>
          <w:t>Instructions</w:t>
        </w:r>
        <w:r w:rsidR="00B225FC">
          <w:rPr>
            <w:noProof/>
            <w:webHidden/>
          </w:rPr>
          <w:tab/>
        </w:r>
        <w:r w:rsidR="00B225FC">
          <w:rPr>
            <w:noProof/>
            <w:webHidden/>
          </w:rPr>
          <w:fldChar w:fldCharType="begin"/>
        </w:r>
        <w:r w:rsidR="00B225FC">
          <w:rPr>
            <w:noProof/>
            <w:webHidden/>
          </w:rPr>
          <w:instrText xml:space="preserve"> PAGEREF _Toc526771226 \h </w:instrText>
        </w:r>
        <w:r w:rsidR="00B225FC">
          <w:rPr>
            <w:noProof/>
            <w:webHidden/>
          </w:rPr>
        </w:r>
        <w:r w:rsidR="00B225FC">
          <w:rPr>
            <w:noProof/>
            <w:webHidden/>
          </w:rPr>
          <w:fldChar w:fldCharType="separate"/>
        </w:r>
        <w:r w:rsidR="00B225FC">
          <w:rPr>
            <w:noProof/>
            <w:webHidden/>
          </w:rPr>
          <w:t>0</w:t>
        </w:r>
        <w:r w:rsidR="00B225FC">
          <w:rPr>
            <w:noProof/>
            <w:webHidden/>
          </w:rPr>
          <w:fldChar w:fldCharType="end"/>
        </w:r>
      </w:hyperlink>
    </w:p>
    <w:p w14:paraId="19C6A6FE" w14:textId="79AF2066" w:rsidR="00B225FC" w:rsidRDefault="005D580E">
      <w:pPr>
        <w:pStyle w:val="TOC1"/>
        <w:tabs>
          <w:tab w:val="right" w:leader="dot" w:pos="9060"/>
        </w:tabs>
        <w:rPr>
          <w:rFonts w:asciiTheme="minorHAnsi" w:eastAsiaTheme="minorEastAsia" w:hAnsiTheme="minorHAnsi" w:cstheme="minorBidi"/>
          <w:b w:val="0"/>
          <w:noProof/>
          <w:szCs w:val="22"/>
          <w:lang w:eastAsia="en-AU"/>
        </w:rPr>
      </w:pPr>
      <w:hyperlink w:anchor="_Toc526771227" w:history="1">
        <w:r w:rsidR="00B225FC" w:rsidRPr="008C3FF7">
          <w:rPr>
            <w:rStyle w:val="Hyperlink"/>
            <w:noProof/>
          </w:rPr>
          <w:t>Section 1: Risk warning</w:t>
        </w:r>
        <w:r w:rsidR="00B225FC">
          <w:rPr>
            <w:noProof/>
            <w:webHidden/>
          </w:rPr>
          <w:tab/>
        </w:r>
        <w:r w:rsidR="00B225FC">
          <w:rPr>
            <w:noProof/>
            <w:webHidden/>
          </w:rPr>
          <w:fldChar w:fldCharType="begin"/>
        </w:r>
        <w:r w:rsidR="00B225FC">
          <w:rPr>
            <w:noProof/>
            <w:webHidden/>
          </w:rPr>
          <w:instrText xml:space="preserve"> PAGEREF _Toc526771227 \h </w:instrText>
        </w:r>
        <w:r w:rsidR="00B225FC">
          <w:rPr>
            <w:noProof/>
            <w:webHidden/>
          </w:rPr>
        </w:r>
        <w:r w:rsidR="00B225FC">
          <w:rPr>
            <w:noProof/>
            <w:webHidden/>
          </w:rPr>
          <w:fldChar w:fldCharType="separate"/>
        </w:r>
        <w:r w:rsidR="00B225FC">
          <w:rPr>
            <w:noProof/>
            <w:webHidden/>
          </w:rPr>
          <w:t>3</w:t>
        </w:r>
        <w:r w:rsidR="00B225FC">
          <w:rPr>
            <w:noProof/>
            <w:webHidden/>
          </w:rPr>
          <w:fldChar w:fldCharType="end"/>
        </w:r>
      </w:hyperlink>
    </w:p>
    <w:p w14:paraId="7501254D" w14:textId="10486CE0" w:rsidR="00B225FC" w:rsidRDefault="005D580E">
      <w:pPr>
        <w:pStyle w:val="TOC1"/>
        <w:tabs>
          <w:tab w:val="right" w:leader="dot" w:pos="9060"/>
        </w:tabs>
        <w:rPr>
          <w:rFonts w:asciiTheme="minorHAnsi" w:eastAsiaTheme="minorEastAsia" w:hAnsiTheme="minorHAnsi" w:cstheme="minorBidi"/>
          <w:b w:val="0"/>
          <w:noProof/>
          <w:szCs w:val="22"/>
          <w:lang w:eastAsia="en-AU"/>
        </w:rPr>
      </w:pPr>
      <w:hyperlink w:anchor="_Toc526771228" w:history="1">
        <w:r w:rsidR="00B225FC" w:rsidRPr="008C3FF7">
          <w:rPr>
            <w:rStyle w:val="Hyperlink"/>
            <w:noProof/>
          </w:rPr>
          <w:t>Section 2: Information about the Company</w:t>
        </w:r>
        <w:r w:rsidR="00B225FC">
          <w:rPr>
            <w:noProof/>
            <w:webHidden/>
          </w:rPr>
          <w:tab/>
        </w:r>
        <w:r w:rsidR="00B225FC">
          <w:rPr>
            <w:noProof/>
            <w:webHidden/>
          </w:rPr>
          <w:fldChar w:fldCharType="begin"/>
        </w:r>
        <w:r w:rsidR="00B225FC">
          <w:rPr>
            <w:noProof/>
            <w:webHidden/>
          </w:rPr>
          <w:instrText xml:space="preserve"> PAGEREF _Toc526771228 \h </w:instrText>
        </w:r>
        <w:r w:rsidR="00B225FC">
          <w:rPr>
            <w:noProof/>
            <w:webHidden/>
          </w:rPr>
        </w:r>
        <w:r w:rsidR="00B225FC">
          <w:rPr>
            <w:noProof/>
            <w:webHidden/>
          </w:rPr>
          <w:fldChar w:fldCharType="separate"/>
        </w:r>
        <w:r w:rsidR="00B225FC">
          <w:rPr>
            <w:noProof/>
            <w:webHidden/>
          </w:rPr>
          <w:t>4</w:t>
        </w:r>
        <w:r w:rsidR="00B225FC">
          <w:rPr>
            <w:noProof/>
            <w:webHidden/>
          </w:rPr>
          <w:fldChar w:fldCharType="end"/>
        </w:r>
      </w:hyperlink>
    </w:p>
    <w:p w14:paraId="480102AB" w14:textId="4A202E34"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29" w:history="1">
        <w:r w:rsidR="00B225FC" w:rsidRPr="008C3FF7">
          <w:rPr>
            <w:rStyle w:val="Hyperlink"/>
            <w:noProof/>
          </w:rPr>
          <w:t>2.1 Company details</w:t>
        </w:r>
        <w:r w:rsidR="00B225FC">
          <w:rPr>
            <w:noProof/>
            <w:webHidden/>
          </w:rPr>
          <w:tab/>
        </w:r>
        <w:r w:rsidR="00B225FC">
          <w:rPr>
            <w:noProof/>
            <w:webHidden/>
          </w:rPr>
          <w:fldChar w:fldCharType="begin"/>
        </w:r>
        <w:r w:rsidR="00B225FC">
          <w:rPr>
            <w:noProof/>
            <w:webHidden/>
          </w:rPr>
          <w:instrText xml:space="preserve"> PAGEREF _Toc526771229 \h </w:instrText>
        </w:r>
        <w:r w:rsidR="00B225FC">
          <w:rPr>
            <w:noProof/>
            <w:webHidden/>
          </w:rPr>
        </w:r>
        <w:r w:rsidR="00B225FC">
          <w:rPr>
            <w:noProof/>
            <w:webHidden/>
          </w:rPr>
          <w:fldChar w:fldCharType="separate"/>
        </w:r>
        <w:r w:rsidR="00B225FC">
          <w:rPr>
            <w:noProof/>
            <w:webHidden/>
          </w:rPr>
          <w:t>4</w:t>
        </w:r>
        <w:r w:rsidR="00B225FC">
          <w:rPr>
            <w:noProof/>
            <w:webHidden/>
          </w:rPr>
          <w:fldChar w:fldCharType="end"/>
        </w:r>
      </w:hyperlink>
    </w:p>
    <w:p w14:paraId="69D03229" w14:textId="481F6549"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0" w:history="1">
        <w:r w:rsidR="00B225FC" w:rsidRPr="008C3FF7">
          <w:rPr>
            <w:rStyle w:val="Hyperlink"/>
            <w:noProof/>
          </w:rPr>
          <w:t>2.2 Description of the business</w:t>
        </w:r>
        <w:r w:rsidR="00B225FC">
          <w:rPr>
            <w:noProof/>
            <w:webHidden/>
          </w:rPr>
          <w:tab/>
        </w:r>
        <w:r w:rsidR="00B225FC">
          <w:rPr>
            <w:noProof/>
            <w:webHidden/>
          </w:rPr>
          <w:fldChar w:fldCharType="begin"/>
        </w:r>
        <w:r w:rsidR="00B225FC">
          <w:rPr>
            <w:noProof/>
            <w:webHidden/>
          </w:rPr>
          <w:instrText xml:space="preserve"> PAGEREF _Toc526771230 \h </w:instrText>
        </w:r>
        <w:r w:rsidR="00B225FC">
          <w:rPr>
            <w:noProof/>
            <w:webHidden/>
          </w:rPr>
        </w:r>
        <w:r w:rsidR="00B225FC">
          <w:rPr>
            <w:noProof/>
            <w:webHidden/>
          </w:rPr>
          <w:fldChar w:fldCharType="separate"/>
        </w:r>
        <w:r w:rsidR="00B225FC">
          <w:rPr>
            <w:noProof/>
            <w:webHidden/>
          </w:rPr>
          <w:t>4</w:t>
        </w:r>
        <w:r w:rsidR="00B225FC">
          <w:rPr>
            <w:noProof/>
            <w:webHidden/>
          </w:rPr>
          <w:fldChar w:fldCharType="end"/>
        </w:r>
      </w:hyperlink>
    </w:p>
    <w:p w14:paraId="73213924" w14:textId="521586B0"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1" w:history="1">
        <w:r w:rsidR="00B225FC" w:rsidRPr="008C3FF7">
          <w:rPr>
            <w:rStyle w:val="Hyperlink"/>
            <w:noProof/>
          </w:rPr>
          <w:t>2.3 Capital structure</w:t>
        </w:r>
        <w:r w:rsidR="00B225FC">
          <w:rPr>
            <w:noProof/>
            <w:webHidden/>
          </w:rPr>
          <w:tab/>
        </w:r>
        <w:r w:rsidR="00B225FC">
          <w:rPr>
            <w:noProof/>
            <w:webHidden/>
          </w:rPr>
          <w:fldChar w:fldCharType="begin"/>
        </w:r>
        <w:r w:rsidR="00B225FC">
          <w:rPr>
            <w:noProof/>
            <w:webHidden/>
          </w:rPr>
          <w:instrText xml:space="preserve"> PAGEREF _Toc526771231 \h </w:instrText>
        </w:r>
        <w:r w:rsidR="00B225FC">
          <w:rPr>
            <w:noProof/>
            <w:webHidden/>
          </w:rPr>
        </w:r>
        <w:r w:rsidR="00B225FC">
          <w:rPr>
            <w:noProof/>
            <w:webHidden/>
          </w:rPr>
          <w:fldChar w:fldCharType="separate"/>
        </w:r>
        <w:r w:rsidR="00B225FC">
          <w:rPr>
            <w:noProof/>
            <w:webHidden/>
          </w:rPr>
          <w:t>6</w:t>
        </w:r>
        <w:r w:rsidR="00B225FC">
          <w:rPr>
            <w:noProof/>
            <w:webHidden/>
          </w:rPr>
          <w:fldChar w:fldCharType="end"/>
        </w:r>
      </w:hyperlink>
    </w:p>
    <w:p w14:paraId="5C9A09A5" w14:textId="40B29E24"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2" w:history="1">
        <w:r w:rsidR="00B225FC" w:rsidRPr="008C3FF7">
          <w:rPr>
            <w:rStyle w:val="Hyperlink"/>
            <w:noProof/>
          </w:rPr>
          <w:t>2.4 Directors and senior managers</w:t>
        </w:r>
        <w:r w:rsidR="00B225FC">
          <w:rPr>
            <w:noProof/>
            <w:webHidden/>
          </w:rPr>
          <w:tab/>
        </w:r>
        <w:r w:rsidR="00B225FC">
          <w:rPr>
            <w:noProof/>
            <w:webHidden/>
          </w:rPr>
          <w:fldChar w:fldCharType="begin"/>
        </w:r>
        <w:r w:rsidR="00B225FC">
          <w:rPr>
            <w:noProof/>
            <w:webHidden/>
          </w:rPr>
          <w:instrText xml:space="preserve"> PAGEREF _Toc526771232 \h </w:instrText>
        </w:r>
        <w:r w:rsidR="00B225FC">
          <w:rPr>
            <w:noProof/>
            <w:webHidden/>
          </w:rPr>
        </w:r>
        <w:r w:rsidR="00B225FC">
          <w:rPr>
            <w:noProof/>
            <w:webHidden/>
          </w:rPr>
          <w:fldChar w:fldCharType="separate"/>
        </w:r>
        <w:r w:rsidR="00B225FC">
          <w:rPr>
            <w:noProof/>
            <w:webHidden/>
          </w:rPr>
          <w:t>7</w:t>
        </w:r>
        <w:r w:rsidR="00B225FC">
          <w:rPr>
            <w:noProof/>
            <w:webHidden/>
          </w:rPr>
          <w:fldChar w:fldCharType="end"/>
        </w:r>
      </w:hyperlink>
    </w:p>
    <w:p w14:paraId="1C70EA9E" w14:textId="2673C39E"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3" w:history="1">
        <w:r w:rsidR="00B225FC" w:rsidRPr="008C3FF7">
          <w:rPr>
            <w:rStyle w:val="Hyperlink"/>
            <w:noProof/>
          </w:rPr>
          <w:t>2.5 Risks facing the business</w:t>
        </w:r>
        <w:r w:rsidR="00B225FC">
          <w:rPr>
            <w:noProof/>
            <w:webHidden/>
          </w:rPr>
          <w:tab/>
        </w:r>
        <w:r w:rsidR="00B225FC">
          <w:rPr>
            <w:noProof/>
            <w:webHidden/>
          </w:rPr>
          <w:fldChar w:fldCharType="begin"/>
        </w:r>
        <w:r w:rsidR="00B225FC">
          <w:rPr>
            <w:noProof/>
            <w:webHidden/>
          </w:rPr>
          <w:instrText xml:space="preserve"> PAGEREF _Toc526771233 \h </w:instrText>
        </w:r>
        <w:r w:rsidR="00B225FC">
          <w:rPr>
            <w:noProof/>
            <w:webHidden/>
          </w:rPr>
        </w:r>
        <w:r w:rsidR="00B225FC">
          <w:rPr>
            <w:noProof/>
            <w:webHidden/>
          </w:rPr>
          <w:fldChar w:fldCharType="separate"/>
        </w:r>
        <w:r w:rsidR="00B225FC">
          <w:rPr>
            <w:noProof/>
            <w:webHidden/>
          </w:rPr>
          <w:t>8</w:t>
        </w:r>
        <w:r w:rsidR="00B225FC">
          <w:rPr>
            <w:noProof/>
            <w:webHidden/>
          </w:rPr>
          <w:fldChar w:fldCharType="end"/>
        </w:r>
      </w:hyperlink>
    </w:p>
    <w:p w14:paraId="32E5638D" w14:textId="6CBCB7D0"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4" w:history="1">
        <w:r w:rsidR="00B225FC" w:rsidRPr="008C3FF7">
          <w:rPr>
            <w:rStyle w:val="Hyperlink"/>
            <w:noProof/>
          </w:rPr>
          <w:t>2.6 Financial information</w:t>
        </w:r>
        <w:r w:rsidR="00B225FC">
          <w:rPr>
            <w:noProof/>
            <w:webHidden/>
          </w:rPr>
          <w:tab/>
        </w:r>
        <w:r w:rsidR="00B225FC">
          <w:rPr>
            <w:noProof/>
            <w:webHidden/>
          </w:rPr>
          <w:fldChar w:fldCharType="begin"/>
        </w:r>
        <w:r w:rsidR="00B225FC">
          <w:rPr>
            <w:noProof/>
            <w:webHidden/>
          </w:rPr>
          <w:instrText xml:space="preserve"> PAGEREF _Toc526771234 \h </w:instrText>
        </w:r>
        <w:r w:rsidR="00B225FC">
          <w:rPr>
            <w:noProof/>
            <w:webHidden/>
          </w:rPr>
        </w:r>
        <w:r w:rsidR="00B225FC">
          <w:rPr>
            <w:noProof/>
            <w:webHidden/>
          </w:rPr>
          <w:fldChar w:fldCharType="separate"/>
        </w:r>
        <w:r w:rsidR="00B225FC">
          <w:rPr>
            <w:noProof/>
            <w:webHidden/>
          </w:rPr>
          <w:t>10</w:t>
        </w:r>
        <w:r w:rsidR="00B225FC">
          <w:rPr>
            <w:noProof/>
            <w:webHidden/>
          </w:rPr>
          <w:fldChar w:fldCharType="end"/>
        </w:r>
      </w:hyperlink>
    </w:p>
    <w:p w14:paraId="2528DBE3" w14:textId="441D5724" w:rsidR="00B225FC" w:rsidRDefault="005D580E">
      <w:pPr>
        <w:pStyle w:val="TOC1"/>
        <w:tabs>
          <w:tab w:val="right" w:leader="dot" w:pos="9060"/>
        </w:tabs>
        <w:rPr>
          <w:rFonts w:asciiTheme="minorHAnsi" w:eastAsiaTheme="minorEastAsia" w:hAnsiTheme="minorHAnsi" w:cstheme="minorBidi"/>
          <w:b w:val="0"/>
          <w:noProof/>
          <w:szCs w:val="22"/>
          <w:lang w:eastAsia="en-AU"/>
        </w:rPr>
      </w:pPr>
      <w:hyperlink w:anchor="_Toc526771235" w:history="1">
        <w:r w:rsidR="00B225FC" w:rsidRPr="008C3FF7">
          <w:rPr>
            <w:rStyle w:val="Hyperlink"/>
            <w:noProof/>
          </w:rPr>
          <w:t>Section 3: Information about the Offer</w:t>
        </w:r>
        <w:r w:rsidR="00B225FC">
          <w:rPr>
            <w:noProof/>
            <w:webHidden/>
          </w:rPr>
          <w:tab/>
        </w:r>
        <w:r w:rsidR="00B225FC">
          <w:rPr>
            <w:noProof/>
            <w:webHidden/>
          </w:rPr>
          <w:fldChar w:fldCharType="begin"/>
        </w:r>
        <w:r w:rsidR="00B225FC">
          <w:rPr>
            <w:noProof/>
            <w:webHidden/>
          </w:rPr>
          <w:instrText xml:space="preserve"> PAGEREF _Toc526771235 \h </w:instrText>
        </w:r>
        <w:r w:rsidR="00B225FC">
          <w:rPr>
            <w:noProof/>
            <w:webHidden/>
          </w:rPr>
        </w:r>
        <w:r w:rsidR="00B225FC">
          <w:rPr>
            <w:noProof/>
            <w:webHidden/>
          </w:rPr>
          <w:fldChar w:fldCharType="separate"/>
        </w:r>
        <w:r w:rsidR="00B225FC">
          <w:rPr>
            <w:noProof/>
            <w:webHidden/>
          </w:rPr>
          <w:t>11</w:t>
        </w:r>
        <w:r w:rsidR="00B225FC">
          <w:rPr>
            <w:noProof/>
            <w:webHidden/>
          </w:rPr>
          <w:fldChar w:fldCharType="end"/>
        </w:r>
      </w:hyperlink>
    </w:p>
    <w:p w14:paraId="2B8847C4" w14:textId="4F79A329"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6" w:history="1">
        <w:r w:rsidR="00B225FC" w:rsidRPr="008C3FF7">
          <w:rPr>
            <w:rStyle w:val="Hyperlink"/>
            <w:noProof/>
          </w:rPr>
          <w:t>3.1 Terms of the Offer</w:t>
        </w:r>
        <w:r w:rsidR="00B225FC">
          <w:rPr>
            <w:noProof/>
            <w:webHidden/>
          </w:rPr>
          <w:tab/>
        </w:r>
        <w:r w:rsidR="00B225FC">
          <w:rPr>
            <w:noProof/>
            <w:webHidden/>
          </w:rPr>
          <w:fldChar w:fldCharType="begin"/>
        </w:r>
        <w:r w:rsidR="00B225FC">
          <w:rPr>
            <w:noProof/>
            <w:webHidden/>
          </w:rPr>
          <w:instrText xml:space="preserve"> PAGEREF _Toc526771236 \h </w:instrText>
        </w:r>
        <w:r w:rsidR="00B225FC">
          <w:rPr>
            <w:noProof/>
            <w:webHidden/>
          </w:rPr>
        </w:r>
        <w:r w:rsidR="00B225FC">
          <w:rPr>
            <w:noProof/>
            <w:webHidden/>
          </w:rPr>
          <w:fldChar w:fldCharType="separate"/>
        </w:r>
        <w:r w:rsidR="00B225FC">
          <w:rPr>
            <w:noProof/>
            <w:webHidden/>
          </w:rPr>
          <w:t>11</w:t>
        </w:r>
        <w:r w:rsidR="00B225FC">
          <w:rPr>
            <w:noProof/>
            <w:webHidden/>
          </w:rPr>
          <w:fldChar w:fldCharType="end"/>
        </w:r>
      </w:hyperlink>
    </w:p>
    <w:p w14:paraId="2635FBCD" w14:textId="3C4EC0FB"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7" w:history="1">
        <w:r w:rsidR="00B225FC" w:rsidRPr="008C3FF7">
          <w:rPr>
            <w:rStyle w:val="Hyperlink"/>
            <w:noProof/>
          </w:rPr>
          <w:t>3.2 Use of funds</w:t>
        </w:r>
        <w:r w:rsidR="00B225FC">
          <w:rPr>
            <w:noProof/>
            <w:webHidden/>
          </w:rPr>
          <w:tab/>
        </w:r>
        <w:r w:rsidR="00B225FC">
          <w:rPr>
            <w:noProof/>
            <w:webHidden/>
          </w:rPr>
          <w:fldChar w:fldCharType="begin"/>
        </w:r>
        <w:r w:rsidR="00B225FC">
          <w:rPr>
            <w:noProof/>
            <w:webHidden/>
          </w:rPr>
          <w:instrText xml:space="preserve"> PAGEREF _Toc526771237 \h </w:instrText>
        </w:r>
        <w:r w:rsidR="00B225FC">
          <w:rPr>
            <w:noProof/>
            <w:webHidden/>
          </w:rPr>
        </w:r>
        <w:r w:rsidR="00B225FC">
          <w:rPr>
            <w:noProof/>
            <w:webHidden/>
          </w:rPr>
          <w:fldChar w:fldCharType="separate"/>
        </w:r>
        <w:r w:rsidR="00B225FC">
          <w:rPr>
            <w:noProof/>
            <w:webHidden/>
          </w:rPr>
          <w:t>11</w:t>
        </w:r>
        <w:r w:rsidR="00B225FC">
          <w:rPr>
            <w:noProof/>
            <w:webHidden/>
          </w:rPr>
          <w:fldChar w:fldCharType="end"/>
        </w:r>
      </w:hyperlink>
    </w:p>
    <w:p w14:paraId="0009B9E6" w14:textId="317E93A8"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8" w:history="1">
        <w:r w:rsidR="00B225FC" w:rsidRPr="008C3FF7">
          <w:rPr>
            <w:rStyle w:val="Hyperlink"/>
            <w:noProof/>
          </w:rPr>
          <w:t>3.3 Rights associated with the shares</w:t>
        </w:r>
        <w:r w:rsidR="00B225FC">
          <w:rPr>
            <w:noProof/>
            <w:webHidden/>
          </w:rPr>
          <w:tab/>
        </w:r>
        <w:r w:rsidR="00B225FC">
          <w:rPr>
            <w:noProof/>
            <w:webHidden/>
          </w:rPr>
          <w:fldChar w:fldCharType="begin"/>
        </w:r>
        <w:r w:rsidR="00B225FC">
          <w:rPr>
            <w:noProof/>
            <w:webHidden/>
          </w:rPr>
          <w:instrText xml:space="preserve"> PAGEREF _Toc526771238 \h </w:instrText>
        </w:r>
        <w:r w:rsidR="00B225FC">
          <w:rPr>
            <w:noProof/>
            <w:webHidden/>
          </w:rPr>
        </w:r>
        <w:r w:rsidR="00B225FC">
          <w:rPr>
            <w:noProof/>
            <w:webHidden/>
          </w:rPr>
          <w:fldChar w:fldCharType="separate"/>
        </w:r>
        <w:r w:rsidR="00B225FC">
          <w:rPr>
            <w:noProof/>
            <w:webHidden/>
          </w:rPr>
          <w:t>13</w:t>
        </w:r>
        <w:r w:rsidR="00B225FC">
          <w:rPr>
            <w:noProof/>
            <w:webHidden/>
          </w:rPr>
          <w:fldChar w:fldCharType="end"/>
        </w:r>
      </w:hyperlink>
    </w:p>
    <w:p w14:paraId="102D588A" w14:textId="6FC0E663"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39" w:history="1">
        <w:r w:rsidR="00B225FC" w:rsidRPr="008C3FF7">
          <w:rPr>
            <w:rStyle w:val="Hyperlink"/>
            <w:noProof/>
          </w:rPr>
          <w:t>3.4 Details of previous CSF offers</w:t>
        </w:r>
        <w:r w:rsidR="00B225FC">
          <w:rPr>
            <w:noProof/>
            <w:webHidden/>
          </w:rPr>
          <w:tab/>
        </w:r>
        <w:r w:rsidR="00B225FC">
          <w:rPr>
            <w:noProof/>
            <w:webHidden/>
          </w:rPr>
          <w:fldChar w:fldCharType="begin"/>
        </w:r>
        <w:r w:rsidR="00B225FC">
          <w:rPr>
            <w:noProof/>
            <w:webHidden/>
          </w:rPr>
          <w:instrText xml:space="preserve"> PAGEREF _Toc526771239 \h </w:instrText>
        </w:r>
        <w:r w:rsidR="00B225FC">
          <w:rPr>
            <w:noProof/>
            <w:webHidden/>
          </w:rPr>
        </w:r>
        <w:r w:rsidR="00B225FC">
          <w:rPr>
            <w:noProof/>
            <w:webHidden/>
          </w:rPr>
          <w:fldChar w:fldCharType="separate"/>
        </w:r>
        <w:r w:rsidR="00B225FC">
          <w:rPr>
            <w:noProof/>
            <w:webHidden/>
          </w:rPr>
          <w:t>14</w:t>
        </w:r>
        <w:r w:rsidR="00B225FC">
          <w:rPr>
            <w:noProof/>
            <w:webHidden/>
          </w:rPr>
          <w:fldChar w:fldCharType="end"/>
        </w:r>
      </w:hyperlink>
    </w:p>
    <w:p w14:paraId="36AA7183" w14:textId="451BC1A8" w:rsidR="00B225FC" w:rsidRDefault="005D580E">
      <w:pPr>
        <w:pStyle w:val="TOC1"/>
        <w:tabs>
          <w:tab w:val="right" w:leader="dot" w:pos="9060"/>
        </w:tabs>
        <w:rPr>
          <w:rFonts w:asciiTheme="minorHAnsi" w:eastAsiaTheme="minorEastAsia" w:hAnsiTheme="minorHAnsi" w:cstheme="minorBidi"/>
          <w:b w:val="0"/>
          <w:noProof/>
          <w:szCs w:val="22"/>
          <w:lang w:eastAsia="en-AU"/>
        </w:rPr>
      </w:pPr>
      <w:hyperlink w:anchor="_Toc526771240" w:history="1">
        <w:r w:rsidR="00B225FC" w:rsidRPr="008C3FF7">
          <w:rPr>
            <w:rStyle w:val="Hyperlink"/>
            <w:noProof/>
          </w:rPr>
          <w:t>Section 4: Information about investor rights</w:t>
        </w:r>
        <w:r w:rsidR="00B225FC">
          <w:rPr>
            <w:noProof/>
            <w:webHidden/>
          </w:rPr>
          <w:tab/>
        </w:r>
        <w:r w:rsidR="00B225FC">
          <w:rPr>
            <w:noProof/>
            <w:webHidden/>
          </w:rPr>
          <w:fldChar w:fldCharType="begin"/>
        </w:r>
        <w:r w:rsidR="00B225FC">
          <w:rPr>
            <w:noProof/>
            <w:webHidden/>
          </w:rPr>
          <w:instrText xml:space="preserve"> PAGEREF _Toc526771240 \h </w:instrText>
        </w:r>
        <w:r w:rsidR="00B225FC">
          <w:rPr>
            <w:noProof/>
            <w:webHidden/>
          </w:rPr>
        </w:r>
        <w:r w:rsidR="00B225FC">
          <w:rPr>
            <w:noProof/>
            <w:webHidden/>
          </w:rPr>
          <w:fldChar w:fldCharType="separate"/>
        </w:r>
        <w:r w:rsidR="00B225FC">
          <w:rPr>
            <w:noProof/>
            <w:webHidden/>
          </w:rPr>
          <w:t>15</w:t>
        </w:r>
        <w:r w:rsidR="00B225FC">
          <w:rPr>
            <w:noProof/>
            <w:webHidden/>
          </w:rPr>
          <w:fldChar w:fldCharType="end"/>
        </w:r>
      </w:hyperlink>
    </w:p>
    <w:p w14:paraId="43D18BBF" w14:textId="59822423"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41" w:history="1">
        <w:r w:rsidR="00B225FC" w:rsidRPr="008C3FF7">
          <w:rPr>
            <w:rStyle w:val="Hyperlink"/>
            <w:noProof/>
          </w:rPr>
          <w:t>4.1 Cooling-off rights</w:t>
        </w:r>
        <w:r w:rsidR="00B225FC">
          <w:rPr>
            <w:noProof/>
            <w:webHidden/>
          </w:rPr>
          <w:tab/>
        </w:r>
        <w:r w:rsidR="00B225FC">
          <w:rPr>
            <w:noProof/>
            <w:webHidden/>
          </w:rPr>
          <w:fldChar w:fldCharType="begin"/>
        </w:r>
        <w:r w:rsidR="00B225FC">
          <w:rPr>
            <w:noProof/>
            <w:webHidden/>
          </w:rPr>
          <w:instrText xml:space="preserve"> PAGEREF _Toc526771241 \h </w:instrText>
        </w:r>
        <w:r w:rsidR="00B225FC">
          <w:rPr>
            <w:noProof/>
            <w:webHidden/>
          </w:rPr>
        </w:r>
        <w:r w:rsidR="00B225FC">
          <w:rPr>
            <w:noProof/>
            <w:webHidden/>
          </w:rPr>
          <w:fldChar w:fldCharType="separate"/>
        </w:r>
        <w:r w:rsidR="00B225FC">
          <w:rPr>
            <w:noProof/>
            <w:webHidden/>
          </w:rPr>
          <w:t>15</w:t>
        </w:r>
        <w:r w:rsidR="00B225FC">
          <w:rPr>
            <w:noProof/>
            <w:webHidden/>
          </w:rPr>
          <w:fldChar w:fldCharType="end"/>
        </w:r>
      </w:hyperlink>
    </w:p>
    <w:p w14:paraId="58EAE7E4" w14:textId="21A0A3F7"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42" w:history="1">
        <w:r w:rsidR="00B225FC" w:rsidRPr="008C3FF7">
          <w:rPr>
            <w:rStyle w:val="Hyperlink"/>
            <w:noProof/>
          </w:rPr>
          <w:t>4.2 Communication facility for the Offer</w:t>
        </w:r>
        <w:r w:rsidR="00B225FC">
          <w:rPr>
            <w:noProof/>
            <w:webHidden/>
          </w:rPr>
          <w:tab/>
        </w:r>
        <w:r w:rsidR="00B225FC">
          <w:rPr>
            <w:noProof/>
            <w:webHidden/>
          </w:rPr>
          <w:fldChar w:fldCharType="begin"/>
        </w:r>
        <w:r w:rsidR="00B225FC">
          <w:rPr>
            <w:noProof/>
            <w:webHidden/>
          </w:rPr>
          <w:instrText xml:space="preserve"> PAGEREF _Toc526771242 \h </w:instrText>
        </w:r>
        <w:r w:rsidR="00B225FC">
          <w:rPr>
            <w:noProof/>
            <w:webHidden/>
          </w:rPr>
        </w:r>
        <w:r w:rsidR="00B225FC">
          <w:rPr>
            <w:noProof/>
            <w:webHidden/>
          </w:rPr>
          <w:fldChar w:fldCharType="separate"/>
        </w:r>
        <w:r w:rsidR="00B225FC">
          <w:rPr>
            <w:noProof/>
            <w:webHidden/>
          </w:rPr>
          <w:t>15</w:t>
        </w:r>
        <w:r w:rsidR="00B225FC">
          <w:rPr>
            <w:noProof/>
            <w:webHidden/>
          </w:rPr>
          <w:fldChar w:fldCharType="end"/>
        </w:r>
      </w:hyperlink>
    </w:p>
    <w:p w14:paraId="46CEF6EF" w14:textId="383DBDBD"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43" w:history="1">
        <w:r w:rsidR="00B225FC" w:rsidRPr="008C3FF7">
          <w:rPr>
            <w:rStyle w:val="Hyperlink"/>
            <w:noProof/>
            <w:spacing w:val="-2"/>
          </w:rPr>
          <w:t>4.3 Proprietary company corporate governance obligations</w:t>
        </w:r>
        <w:r w:rsidR="00B225FC">
          <w:rPr>
            <w:noProof/>
            <w:webHidden/>
          </w:rPr>
          <w:tab/>
        </w:r>
        <w:r w:rsidR="00B225FC">
          <w:rPr>
            <w:noProof/>
            <w:webHidden/>
          </w:rPr>
          <w:fldChar w:fldCharType="begin"/>
        </w:r>
        <w:r w:rsidR="00B225FC">
          <w:rPr>
            <w:noProof/>
            <w:webHidden/>
          </w:rPr>
          <w:instrText xml:space="preserve"> PAGEREF _Toc526771243 \h </w:instrText>
        </w:r>
        <w:r w:rsidR="00B225FC">
          <w:rPr>
            <w:noProof/>
            <w:webHidden/>
          </w:rPr>
        </w:r>
        <w:r w:rsidR="00B225FC">
          <w:rPr>
            <w:noProof/>
            <w:webHidden/>
          </w:rPr>
          <w:fldChar w:fldCharType="separate"/>
        </w:r>
        <w:r w:rsidR="00B225FC">
          <w:rPr>
            <w:noProof/>
            <w:webHidden/>
          </w:rPr>
          <w:t>15</w:t>
        </w:r>
        <w:r w:rsidR="00B225FC">
          <w:rPr>
            <w:noProof/>
            <w:webHidden/>
          </w:rPr>
          <w:fldChar w:fldCharType="end"/>
        </w:r>
      </w:hyperlink>
    </w:p>
    <w:p w14:paraId="0CE41840" w14:textId="5F773C9A" w:rsidR="00B225FC" w:rsidRDefault="005D580E">
      <w:pPr>
        <w:pStyle w:val="TOC2"/>
        <w:tabs>
          <w:tab w:val="right" w:leader="dot" w:pos="9060"/>
        </w:tabs>
        <w:rPr>
          <w:rFonts w:asciiTheme="minorHAnsi" w:eastAsiaTheme="minorEastAsia" w:hAnsiTheme="minorHAnsi" w:cstheme="minorBidi"/>
          <w:noProof/>
          <w:szCs w:val="22"/>
          <w:lang w:eastAsia="en-AU"/>
        </w:rPr>
      </w:pPr>
      <w:hyperlink w:anchor="_Toc526771244" w:history="1">
        <w:r w:rsidR="00B225FC" w:rsidRPr="008C3FF7">
          <w:rPr>
            <w:rStyle w:val="Hyperlink"/>
            <w:noProof/>
            <w:spacing w:val="-2"/>
          </w:rPr>
          <w:t>4.4 Public company corporate governance concessions</w:t>
        </w:r>
        <w:r w:rsidR="00B225FC">
          <w:rPr>
            <w:noProof/>
            <w:webHidden/>
          </w:rPr>
          <w:tab/>
        </w:r>
        <w:r w:rsidR="00B225FC">
          <w:rPr>
            <w:noProof/>
            <w:webHidden/>
          </w:rPr>
          <w:fldChar w:fldCharType="begin"/>
        </w:r>
        <w:r w:rsidR="00B225FC">
          <w:rPr>
            <w:noProof/>
            <w:webHidden/>
          </w:rPr>
          <w:instrText xml:space="preserve"> PAGEREF _Toc526771244 \h </w:instrText>
        </w:r>
        <w:r w:rsidR="00B225FC">
          <w:rPr>
            <w:noProof/>
            <w:webHidden/>
          </w:rPr>
        </w:r>
        <w:r w:rsidR="00B225FC">
          <w:rPr>
            <w:noProof/>
            <w:webHidden/>
          </w:rPr>
          <w:fldChar w:fldCharType="separate"/>
        </w:r>
        <w:r w:rsidR="00B225FC">
          <w:rPr>
            <w:noProof/>
            <w:webHidden/>
          </w:rPr>
          <w:t>17</w:t>
        </w:r>
        <w:r w:rsidR="00B225FC">
          <w:rPr>
            <w:noProof/>
            <w:webHidden/>
          </w:rPr>
          <w:fldChar w:fldCharType="end"/>
        </w:r>
      </w:hyperlink>
    </w:p>
    <w:p w14:paraId="25831888" w14:textId="5AD239B4" w:rsidR="00B225FC" w:rsidRDefault="005D580E">
      <w:pPr>
        <w:pStyle w:val="TOC1"/>
        <w:tabs>
          <w:tab w:val="right" w:leader="dot" w:pos="9060"/>
        </w:tabs>
        <w:rPr>
          <w:rFonts w:asciiTheme="minorHAnsi" w:eastAsiaTheme="minorEastAsia" w:hAnsiTheme="minorHAnsi" w:cstheme="minorBidi"/>
          <w:b w:val="0"/>
          <w:noProof/>
          <w:szCs w:val="22"/>
          <w:lang w:eastAsia="en-AU"/>
        </w:rPr>
      </w:pPr>
      <w:hyperlink w:anchor="_Toc526771245" w:history="1">
        <w:r w:rsidR="00B225FC" w:rsidRPr="008C3FF7">
          <w:rPr>
            <w:rStyle w:val="Hyperlink"/>
            <w:noProof/>
          </w:rPr>
          <w:t>Glossary</w:t>
        </w:r>
        <w:r w:rsidR="00B225FC">
          <w:rPr>
            <w:noProof/>
            <w:webHidden/>
          </w:rPr>
          <w:tab/>
        </w:r>
        <w:r w:rsidR="00B225FC">
          <w:rPr>
            <w:noProof/>
            <w:webHidden/>
          </w:rPr>
          <w:fldChar w:fldCharType="begin"/>
        </w:r>
        <w:r w:rsidR="00B225FC">
          <w:rPr>
            <w:noProof/>
            <w:webHidden/>
          </w:rPr>
          <w:instrText xml:space="preserve"> PAGEREF _Toc526771245 \h </w:instrText>
        </w:r>
        <w:r w:rsidR="00B225FC">
          <w:rPr>
            <w:noProof/>
            <w:webHidden/>
          </w:rPr>
        </w:r>
        <w:r w:rsidR="00B225FC">
          <w:rPr>
            <w:noProof/>
            <w:webHidden/>
          </w:rPr>
          <w:fldChar w:fldCharType="separate"/>
        </w:r>
        <w:r w:rsidR="00B225FC">
          <w:rPr>
            <w:noProof/>
            <w:webHidden/>
          </w:rPr>
          <w:t>19</w:t>
        </w:r>
        <w:r w:rsidR="00B225FC">
          <w:rPr>
            <w:noProof/>
            <w:webHidden/>
          </w:rPr>
          <w:fldChar w:fldCharType="end"/>
        </w:r>
      </w:hyperlink>
    </w:p>
    <w:p w14:paraId="3150E59C" w14:textId="1C7A9F64" w:rsidR="00B225FC" w:rsidRDefault="005D580E">
      <w:pPr>
        <w:pStyle w:val="TOC1"/>
        <w:tabs>
          <w:tab w:val="right" w:leader="dot" w:pos="9060"/>
        </w:tabs>
        <w:rPr>
          <w:rFonts w:asciiTheme="minorHAnsi" w:eastAsiaTheme="minorEastAsia" w:hAnsiTheme="minorHAnsi" w:cstheme="minorBidi"/>
          <w:b w:val="0"/>
          <w:noProof/>
          <w:szCs w:val="22"/>
          <w:lang w:eastAsia="en-AU"/>
        </w:rPr>
      </w:pPr>
      <w:hyperlink w:anchor="_Toc526771246" w:history="1">
        <w:r w:rsidR="00B225FC" w:rsidRPr="008C3FF7">
          <w:rPr>
            <w:rStyle w:val="Hyperlink"/>
            <w:noProof/>
          </w:rPr>
          <w:t>Annexure</w:t>
        </w:r>
        <w:r w:rsidR="00B225FC">
          <w:rPr>
            <w:noProof/>
            <w:webHidden/>
          </w:rPr>
          <w:tab/>
        </w:r>
        <w:r w:rsidR="00B225FC">
          <w:rPr>
            <w:noProof/>
            <w:webHidden/>
          </w:rPr>
          <w:fldChar w:fldCharType="begin"/>
        </w:r>
        <w:r w:rsidR="00B225FC">
          <w:rPr>
            <w:noProof/>
            <w:webHidden/>
          </w:rPr>
          <w:instrText xml:space="preserve"> PAGEREF _Toc526771246 \h </w:instrText>
        </w:r>
        <w:r w:rsidR="00B225FC">
          <w:rPr>
            <w:noProof/>
            <w:webHidden/>
          </w:rPr>
        </w:r>
        <w:r w:rsidR="00B225FC">
          <w:rPr>
            <w:noProof/>
            <w:webHidden/>
          </w:rPr>
          <w:fldChar w:fldCharType="separate"/>
        </w:r>
        <w:r w:rsidR="00B225FC">
          <w:rPr>
            <w:noProof/>
            <w:webHidden/>
          </w:rPr>
          <w:t>20</w:t>
        </w:r>
        <w:r w:rsidR="00B225FC">
          <w:rPr>
            <w:noProof/>
            <w:webHidden/>
          </w:rPr>
          <w:fldChar w:fldCharType="end"/>
        </w:r>
      </w:hyperlink>
    </w:p>
    <w:p w14:paraId="77B61AF2" w14:textId="4EDD775C" w:rsidR="000E550A" w:rsidRPr="004437F2" w:rsidRDefault="003F3291" w:rsidP="004437F2">
      <w:pPr>
        <w:pStyle w:val="Heading1"/>
      </w:pPr>
      <w:r>
        <w:rPr>
          <w:szCs w:val="20"/>
        </w:rPr>
        <w:lastRenderedPageBreak/>
        <w:fldChar w:fldCharType="end"/>
      </w:r>
      <w:bookmarkStart w:id="6" w:name="_Toc526771227"/>
      <w:r w:rsidR="000E550A" w:rsidRPr="004437F2">
        <w:t>Risk warning</w:t>
      </w:r>
      <w:bookmarkEnd w:id="6"/>
    </w:p>
    <w:p w14:paraId="2034B67E" w14:textId="75B8FEB0" w:rsidR="000E550A" w:rsidRPr="001A2117" w:rsidRDefault="00275E8A" w:rsidP="001A2117">
      <w:pPr>
        <w:pStyle w:val="Templatecommentarytext"/>
      </w:pPr>
      <w:r>
        <w:t>I</w:t>
      </w:r>
      <w:r w:rsidR="000E550A" w:rsidRPr="00270FEF">
        <w:t xml:space="preserve">nclude </w:t>
      </w:r>
      <w:r w:rsidRPr="00270FEF">
        <w:t>th</w:t>
      </w:r>
      <w:r>
        <w:t>e below</w:t>
      </w:r>
      <w:r w:rsidRPr="00270FEF">
        <w:t xml:space="preserve"> </w:t>
      </w:r>
      <w:r w:rsidR="000E550A" w:rsidRPr="00270FEF">
        <w:t xml:space="preserve">risk warning in </w:t>
      </w:r>
      <w:r w:rsidR="00B159C1">
        <w:t>S</w:t>
      </w:r>
      <w:r w:rsidR="000E550A" w:rsidRPr="00270FEF">
        <w:t xml:space="preserve">ection 1 of your </w:t>
      </w:r>
      <w:r w:rsidR="001450BD">
        <w:t xml:space="preserve">CSF </w:t>
      </w:r>
      <w:r w:rsidR="000E550A" w:rsidRPr="00270FEF">
        <w:t>offer document.</w:t>
      </w:r>
      <w:r>
        <w:t xml:space="preserve"> </w:t>
      </w:r>
      <w:r w:rsidRPr="00270FEF">
        <w:t>Th</w:t>
      </w:r>
      <w:r w:rsidR="000C3A0B">
        <w:t xml:space="preserve">is </w:t>
      </w:r>
      <w:r w:rsidR="00D425C3">
        <w:t>is</w:t>
      </w:r>
      <w:r w:rsidRPr="00270FEF">
        <w:t xml:space="preserve"> the </w:t>
      </w:r>
      <w:r w:rsidR="00D425C3">
        <w:t>mandatory</w:t>
      </w:r>
      <w:r w:rsidRPr="00270FEF">
        <w:t xml:space="preserve"> wording prescribed under the Corporations Regulations </w:t>
      </w:r>
      <w:r>
        <w:t xml:space="preserve">2001 (Corporations Regulations) </w:t>
      </w:r>
      <w:r w:rsidR="00D66B90">
        <w:t>(reg 6D.3A.03).</w:t>
      </w:r>
    </w:p>
    <w:p w14:paraId="2149CDED" w14:textId="77777777" w:rsidR="000E550A" w:rsidRPr="00D30BB1" w:rsidRDefault="00550EB7" w:rsidP="001A2117">
      <w:pPr>
        <w:pStyle w:val="Warning"/>
        <w:pBdr>
          <w:top w:val="none" w:sz="0" w:space="0" w:color="auto"/>
          <w:left w:val="none" w:sz="0" w:space="0" w:color="auto"/>
          <w:bottom w:val="none" w:sz="0" w:space="0" w:color="auto"/>
          <w:right w:val="none" w:sz="0" w:space="0" w:color="auto"/>
        </w:pBdr>
        <w:rPr>
          <w:b/>
          <w:sz w:val="24"/>
          <w:szCs w:val="24"/>
        </w:rPr>
      </w:pPr>
      <w:r>
        <w:rPr>
          <w:b/>
          <w:sz w:val="24"/>
          <w:szCs w:val="24"/>
        </w:rPr>
        <w:t>C</w:t>
      </w:r>
      <w:r w:rsidR="000E550A" w:rsidRPr="00D30BB1">
        <w:rPr>
          <w:b/>
          <w:sz w:val="24"/>
          <w:szCs w:val="24"/>
        </w:rPr>
        <w:t>rowd</w:t>
      </w:r>
      <w:r>
        <w:rPr>
          <w:b/>
          <w:sz w:val="24"/>
          <w:szCs w:val="24"/>
        </w:rPr>
        <w:t xml:space="preserve">-sourced </w:t>
      </w:r>
      <w:r w:rsidR="000E550A" w:rsidRPr="00D30BB1">
        <w:rPr>
          <w:b/>
          <w:sz w:val="24"/>
          <w:szCs w:val="24"/>
        </w:rPr>
        <w:t>funding is risky. Issuers using this facility include new or rapidly growing ventures. Investment in these types of ventures is spec</w:t>
      </w:r>
      <w:r w:rsidR="00851714" w:rsidRPr="00D30BB1">
        <w:rPr>
          <w:b/>
          <w:sz w:val="24"/>
          <w:szCs w:val="24"/>
        </w:rPr>
        <w:t>ulative and carries high risks.</w:t>
      </w:r>
    </w:p>
    <w:p w14:paraId="276DC1E2"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 xml:space="preserve">You may lose your entire investment, and you </w:t>
      </w:r>
      <w:r w:rsidR="00464439" w:rsidRPr="00D30BB1">
        <w:rPr>
          <w:b/>
          <w:sz w:val="24"/>
          <w:szCs w:val="24"/>
        </w:rPr>
        <w:t>should</w:t>
      </w:r>
      <w:r w:rsidRPr="00D30BB1">
        <w:rPr>
          <w:b/>
          <w:sz w:val="24"/>
          <w:szCs w:val="24"/>
        </w:rPr>
        <w:t xml:space="preserve"> be in a position to bear this risk without undue hardship.</w:t>
      </w:r>
    </w:p>
    <w:p w14:paraId="38B3CB33"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Even if the company is successful, the value of your investment and any return on the investment could be reduced if the company issues more shares.</w:t>
      </w:r>
    </w:p>
    <w:p w14:paraId="64874408"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Your investment is unlikely to be liquid. This means you are unlikely to be able to sell your shares quickly or at all if you need the money or decide that this investment is not right for you.</w:t>
      </w:r>
    </w:p>
    <w:p w14:paraId="3449E550"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Even though you have remedies for misleading statements in the offer document or misconduct by the company, you may have difficulty recovering your money.</w:t>
      </w:r>
    </w:p>
    <w:p w14:paraId="11EEF1F3"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There are rules for handling your money. However, if your money is handled inappropriately or the person operating the platform on which this offer is published becomes insolvent, you may have di</w:t>
      </w:r>
      <w:r w:rsidR="00851714" w:rsidRPr="00D30BB1">
        <w:rPr>
          <w:b/>
          <w:sz w:val="24"/>
          <w:szCs w:val="24"/>
        </w:rPr>
        <w:t>fficulty recovering your money.</w:t>
      </w:r>
    </w:p>
    <w:p w14:paraId="16C4C07C"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Ask questions, read all information given carefully, and seek independent financial advice before committ</w:t>
      </w:r>
      <w:r w:rsidR="00527197" w:rsidRPr="00D30BB1">
        <w:rPr>
          <w:b/>
          <w:sz w:val="24"/>
          <w:szCs w:val="24"/>
        </w:rPr>
        <w:t>ing yourself to any investment.</w:t>
      </w:r>
    </w:p>
    <w:p w14:paraId="15191A49" w14:textId="11840B71" w:rsidR="000E550A" w:rsidRPr="004248CE" w:rsidRDefault="000E550A" w:rsidP="004437F2">
      <w:pPr>
        <w:pStyle w:val="Heading1"/>
      </w:pPr>
      <w:bookmarkStart w:id="7" w:name="_Toc526771228"/>
      <w:r w:rsidRPr="004248CE">
        <w:lastRenderedPageBreak/>
        <w:t>Information about the Company</w:t>
      </w:r>
      <w:bookmarkEnd w:id="7"/>
    </w:p>
    <w:p w14:paraId="7F120FB3" w14:textId="77777777" w:rsidR="000E550A" w:rsidRPr="00AD1C07" w:rsidRDefault="000E550A" w:rsidP="00AD1C07">
      <w:pPr>
        <w:pStyle w:val="Heading2"/>
      </w:pPr>
      <w:bookmarkStart w:id="8" w:name="_Toc526771229"/>
      <w:r w:rsidRPr="00AD1C07">
        <w:t>Company details</w:t>
      </w:r>
      <w:bookmarkEnd w:id="8"/>
    </w:p>
    <w:p w14:paraId="72F1342B" w14:textId="0F03E97C" w:rsidR="000E550A" w:rsidRPr="00CB5590" w:rsidRDefault="00892B9C" w:rsidP="003D400F">
      <w:pPr>
        <w:pStyle w:val="Templatecommentarytext"/>
      </w:pPr>
      <w:r>
        <w:t>I</w:t>
      </w:r>
      <w:r w:rsidRPr="00CB5590">
        <w:t>nclude your company name</w:t>
      </w:r>
      <w:r>
        <w:t xml:space="preserve">, company type, </w:t>
      </w:r>
      <w:r w:rsidRPr="00CB5590">
        <w:t>Australian Company Number (ACN)</w:t>
      </w:r>
      <w:r>
        <w:t xml:space="preserve">, </w:t>
      </w:r>
      <w:r w:rsidRPr="00CB5590">
        <w:t>registered office address</w:t>
      </w:r>
      <w:r>
        <w:t xml:space="preserve"> and </w:t>
      </w:r>
      <w:r w:rsidRPr="00CB5590">
        <w:t>the location or address of your company</w:t>
      </w:r>
      <w:r w:rsidR="00C7359B">
        <w:t>’</w:t>
      </w:r>
      <w:r w:rsidRPr="00CB5590">
        <w:t>s principal place of business</w:t>
      </w:r>
      <w:r>
        <w:t xml:space="preserve">. </w:t>
      </w:r>
      <w:r w:rsidR="00D23450">
        <w:t>An illustrative example is provided below.</w:t>
      </w:r>
      <w:r w:rsidR="00523962">
        <w:t xml:space="preserve"> </w:t>
      </w:r>
    </w:p>
    <w:p w14:paraId="2A6B566D" w14:textId="24EC2D8C" w:rsidR="00DC695E" w:rsidRPr="00DC695E" w:rsidRDefault="000E550A" w:rsidP="00DC695E">
      <w:pPr>
        <w:pStyle w:val="BodyText"/>
      </w:pPr>
      <w:r>
        <w:t xml:space="preserve">This offer of </w:t>
      </w:r>
      <w:r w:rsidR="00B12384">
        <w:t>s</w:t>
      </w:r>
      <w:r w:rsidRPr="00680279">
        <w:t xml:space="preserve">hares is made by New Co </w:t>
      </w:r>
      <w:r w:rsidR="00523962">
        <w:t xml:space="preserve">Pty </w:t>
      </w:r>
      <w:r w:rsidRPr="00680279">
        <w:t xml:space="preserve">Ltd </w:t>
      </w:r>
      <w:r w:rsidRPr="005C6145">
        <w:t>ACN 123</w:t>
      </w:r>
      <w:r w:rsidRPr="00680279">
        <w:t xml:space="preserve"> 456 789 (</w:t>
      </w:r>
      <w:r w:rsidRPr="00F75BB5">
        <w:t>the Company</w:t>
      </w:r>
      <w:r w:rsidR="00851714">
        <w:t>).</w:t>
      </w:r>
      <w:r w:rsidR="00D23450">
        <w:t xml:space="preserve"> </w:t>
      </w:r>
      <w:r w:rsidR="004C4DF9" w:rsidRPr="005069D1">
        <w:t>The Company</w:t>
      </w:r>
      <w:r w:rsidRPr="005069D1">
        <w:t xml:space="preserve"> was incorporated on [</w:t>
      </w:r>
      <w:r w:rsidRPr="00F75BB5">
        <w:rPr>
          <w:i/>
        </w:rPr>
        <w:t>date</w:t>
      </w:r>
      <w:r w:rsidRPr="005069D1">
        <w:t>]</w:t>
      </w:r>
      <w:r w:rsidR="00523962">
        <w:t>. [</w:t>
      </w:r>
      <w:r w:rsidR="00523962" w:rsidRPr="00523962">
        <w:rPr>
          <w:i/>
        </w:rPr>
        <w:t>I</w:t>
      </w:r>
      <w:r w:rsidR="00523962" w:rsidRPr="006E1780">
        <w:rPr>
          <w:i/>
        </w:rPr>
        <w:t>f your company is a public company, include the</w:t>
      </w:r>
      <w:r w:rsidR="00523962" w:rsidRPr="00A9469F">
        <w:rPr>
          <w:i/>
        </w:rPr>
        <w:t xml:space="preserve"> date your company</w:t>
      </w:r>
      <w:r w:rsidRPr="00A9469F">
        <w:rPr>
          <w:i/>
        </w:rPr>
        <w:t xml:space="preserve"> converted to a public company</w:t>
      </w:r>
      <w:r w:rsidRPr="005069D1">
        <w:t>].</w:t>
      </w:r>
    </w:p>
    <w:p w14:paraId="72DF505D" w14:textId="77777777" w:rsidR="000E550A" w:rsidRDefault="000E550A" w:rsidP="00CF3399">
      <w:pPr>
        <w:pStyle w:val="BodyText"/>
        <w:rPr>
          <w:b/>
        </w:rPr>
      </w:pPr>
      <w:r w:rsidRPr="00DC695E">
        <w:rPr>
          <w:b/>
        </w:rPr>
        <w:t xml:space="preserve">Registered </w:t>
      </w:r>
      <w:r w:rsidR="00AC4D90" w:rsidRPr="00DC695E">
        <w:rPr>
          <w:b/>
        </w:rPr>
        <w:t>o</w:t>
      </w:r>
      <w:r w:rsidRPr="00DC695E">
        <w:rPr>
          <w:b/>
        </w:rPr>
        <w:t>ffice</w:t>
      </w:r>
      <w:r w:rsidR="00D23450">
        <w:rPr>
          <w:b/>
        </w:rPr>
        <w:t xml:space="preserve"> and contact details</w:t>
      </w:r>
    </w:p>
    <w:p w14:paraId="7C1AE589" w14:textId="77777777" w:rsidR="00D23450" w:rsidRDefault="00D23450" w:rsidP="00D23450">
      <w:pPr>
        <w:pStyle w:val="BodyText"/>
      </w:pPr>
      <w:r>
        <w:t>[</w:t>
      </w:r>
      <w:r w:rsidRPr="00904E6A">
        <w:rPr>
          <w:i/>
        </w:rPr>
        <w:t xml:space="preserve">Include </w:t>
      </w:r>
      <w:r>
        <w:rPr>
          <w:i/>
        </w:rPr>
        <w:t>address and contact details</w:t>
      </w:r>
      <w:r w:rsidRPr="00B52F07">
        <w:t>]</w:t>
      </w:r>
    </w:p>
    <w:p w14:paraId="2EE4AC63" w14:textId="77777777" w:rsidR="000E550A" w:rsidRDefault="000E550A" w:rsidP="00CF3399">
      <w:pPr>
        <w:pStyle w:val="BodyText"/>
        <w:rPr>
          <w:b/>
        </w:rPr>
      </w:pPr>
      <w:r w:rsidRPr="00DC695E">
        <w:rPr>
          <w:b/>
        </w:rPr>
        <w:t>Principal place of business</w:t>
      </w:r>
    </w:p>
    <w:p w14:paraId="15B60FEF" w14:textId="77777777" w:rsidR="00D9641B" w:rsidRPr="00447EEF" w:rsidRDefault="00D23450" w:rsidP="00447EEF">
      <w:pPr>
        <w:pStyle w:val="BodyText"/>
      </w:pPr>
      <w:r>
        <w:t>[</w:t>
      </w:r>
      <w:r w:rsidRPr="00904E6A">
        <w:rPr>
          <w:i/>
        </w:rPr>
        <w:t xml:space="preserve">Include </w:t>
      </w:r>
      <w:r>
        <w:rPr>
          <w:i/>
        </w:rPr>
        <w:t>address/location</w:t>
      </w:r>
      <w:r w:rsidRPr="00B52F07">
        <w:t>]</w:t>
      </w:r>
    </w:p>
    <w:p w14:paraId="048DFF9F" w14:textId="77777777" w:rsidR="000E550A" w:rsidRPr="005468D4" w:rsidRDefault="000E550A" w:rsidP="00DC695E">
      <w:pPr>
        <w:pStyle w:val="Heading2"/>
      </w:pPr>
      <w:bookmarkStart w:id="9" w:name="_Toc482890265"/>
      <w:bookmarkStart w:id="10" w:name="_Toc482890294"/>
      <w:bookmarkStart w:id="11" w:name="_Toc482890321"/>
      <w:bookmarkStart w:id="12" w:name="_Toc483818099"/>
      <w:bookmarkStart w:id="13" w:name="_Toc483820599"/>
      <w:bookmarkStart w:id="14" w:name="_Toc484073827"/>
      <w:bookmarkStart w:id="15" w:name="_Toc482890266"/>
      <w:bookmarkStart w:id="16" w:name="_Toc482890295"/>
      <w:bookmarkStart w:id="17" w:name="_Toc482890322"/>
      <w:bookmarkStart w:id="18" w:name="_Toc483818100"/>
      <w:bookmarkStart w:id="19" w:name="_Toc483820600"/>
      <w:bookmarkStart w:id="20" w:name="_Toc484073828"/>
      <w:bookmarkStart w:id="21" w:name="_Toc526771230"/>
      <w:bookmarkEnd w:id="9"/>
      <w:bookmarkEnd w:id="10"/>
      <w:bookmarkEnd w:id="11"/>
      <w:bookmarkEnd w:id="12"/>
      <w:bookmarkEnd w:id="13"/>
      <w:bookmarkEnd w:id="14"/>
      <w:bookmarkEnd w:id="15"/>
      <w:bookmarkEnd w:id="16"/>
      <w:bookmarkEnd w:id="17"/>
      <w:bookmarkEnd w:id="18"/>
      <w:bookmarkEnd w:id="19"/>
      <w:bookmarkEnd w:id="20"/>
      <w:r w:rsidRPr="005468D4">
        <w:t xml:space="preserve">Description of the </w:t>
      </w:r>
      <w:r w:rsidR="00A84D6F">
        <w:t>b</w:t>
      </w:r>
      <w:r w:rsidRPr="005468D4">
        <w:t>usiness</w:t>
      </w:r>
      <w:bookmarkEnd w:id="21"/>
    </w:p>
    <w:p w14:paraId="5694284A" w14:textId="415F8893" w:rsidR="000E550A" w:rsidRDefault="00F84BC6" w:rsidP="00447EEF">
      <w:pPr>
        <w:pStyle w:val="Heading3"/>
      </w:pPr>
      <w:r>
        <w:t>Who are we?</w:t>
      </w:r>
    </w:p>
    <w:p w14:paraId="0CDA7B33" w14:textId="274171C2" w:rsidR="000E550A" w:rsidRPr="00447EEF" w:rsidRDefault="000E550A" w:rsidP="00447EEF">
      <w:pPr>
        <w:pStyle w:val="Templatecommentarytext"/>
      </w:pPr>
      <w:r w:rsidRPr="00447EEF">
        <w:t>Include a description about what your company does</w:t>
      </w:r>
      <w:r w:rsidR="00867853">
        <w:t>,</w:t>
      </w:r>
      <w:r w:rsidRPr="00447EEF">
        <w:t xml:space="preserve"> the main function of </w:t>
      </w:r>
      <w:r w:rsidR="005660E4">
        <w:t>its</w:t>
      </w:r>
      <w:r w:rsidRPr="00447EEF">
        <w:t xml:space="preserve"> business</w:t>
      </w:r>
      <w:r w:rsidR="00867853">
        <w:t xml:space="preserve"> and any current activities</w:t>
      </w:r>
      <w:r w:rsidRPr="00447EEF">
        <w:t xml:space="preserve">. </w:t>
      </w:r>
      <w:r w:rsidR="00A52A76" w:rsidRPr="00447EEF">
        <w:t xml:space="preserve">See Table 14 in </w:t>
      </w:r>
      <w:hyperlink r:id="rId19" w:history="1">
        <w:r w:rsidR="00A52A76" w:rsidRPr="00C0667E">
          <w:rPr>
            <w:rStyle w:val="Hyperlink"/>
          </w:rPr>
          <w:t xml:space="preserve">RG </w:t>
        </w:r>
        <w:r w:rsidR="001013EB" w:rsidRPr="00C0667E">
          <w:rPr>
            <w:rStyle w:val="Hyperlink"/>
          </w:rPr>
          <w:t>261</w:t>
        </w:r>
      </w:hyperlink>
      <w:r w:rsidR="00A52A76" w:rsidRPr="00447EEF">
        <w:t xml:space="preserve"> for further guidance.</w:t>
      </w:r>
      <w:r w:rsidR="00397ED8" w:rsidRPr="00447EEF">
        <w:t xml:space="preserve"> </w:t>
      </w:r>
      <w:r w:rsidRPr="00447EEF">
        <w:t>An illustrative example is provided below.</w:t>
      </w:r>
    </w:p>
    <w:p w14:paraId="34B4FE9D" w14:textId="784846C6" w:rsidR="000E550A" w:rsidRPr="005468D4" w:rsidRDefault="00950ACD" w:rsidP="00CF3399">
      <w:pPr>
        <w:pStyle w:val="BodyText"/>
      </w:pPr>
      <w:r>
        <w:t>We are</w:t>
      </w:r>
      <w:r w:rsidR="000E550A" w:rsidRPr="005468D4">
        <w:t xml:space="preserve"> a</w:t>
      </w:r>
      <w:r w:rsidR="00060316">
        <w:t>n early-stage</w:t>
      </w:r>
      <w:r w:rsidR="000E550A" w:rsidRPr="005468D4">
        <w:t xml:space="preserve"> biomedical engineering and technology company based in Sydney, Australia.</w:t>
      </w:r>
    </w:p>
    <w:p w14:paraId="1E989186" w14:textId="489370C7" w:rsidR="000E550A" w:rsidRPr="00524014" w:rsidRDefault="00E257CB" w:rsidP="00CF3399">
      <w:pPr>
        <w:pStyle w:val="BodyText"/>
      </w:pPr>
      <w:r>
        <w:t>Our</w:t>
      </w:r>
      <w:r w:rsidR="000E550A" w:rsidRPr="00524014">
        <w:t xml:space="preserve"> core business is the research and development of a new bionic technology for use in prosthetic limbs. </w:t>
      </w:r>
      <w:r w:rsidR="00AE590C">
        <w:t>Our</w:t>
      </w:r>
      <w:r w:rsidR="000E550A" w:rsidRPr="00524014">
        <w:t xml:space="preserve"> new technology design has been developed over the last </w:t>
      </w:r>
      <w:r w:rsidR="004C4DF9">
        <w:t>two</w:t>
      </w:r>
      <w:r w:rsidR="000E550A" w:rsidRPr="00524014">
        <w:t xml:space="preserve"> years </w:t>
      </w:r>
      <w:r w:rsidR="000E550A">
        <w:t xml:space="preserve">and limited clinical trials have been conducted. </w:t>
      </w:r>
      <w:r w:rsidR="00AE590C">
        <w:t>We are</w:t>
      </w:r>
      <w:r w:rsidR="000E550A" w:rsidRPr="00524014">
        <w:t xml:space="preserve"> </w:t>
      </w:r>
      <w:r w:rsidR="00CB1AC5">
        <w:t xml:space="preserve">currently undertaking </w:t>
      </w:r>
      <w:r w:rsidR="00611454">
        <w:t xml:space="preserve">additional </w:t>
      </w:r>
      <w:r w:rsidR="00CB1AC5">
        <w:t xml:space="preserve">limited clinical studies and are </w:t>
      </w:r>
      <w:r w:rsidR="000E550A" w:rsidRPr="00524014">
        <w:t xml:space="preserve">looking to move into the next phase of </w:t>
      </w:r>
      <w:r w:rsidR="000E550A">
        <w:t xml:space="preserve">undertaking </w:t>
      </w:r>
      <w:r w:rsidR="00FA43F6">
        <w:t>more extensive</w:t>
      </w:r>
      <w:r w:rsidR="000E550A">
        <w:t xml:space="preserve"> </w:t>
      </w:r>
      <w:r w:rsidR="000E550A" w:rsidRPr="00524014">
        <w:t>clinical trials</w:t>
      </w:r>
      <w:r w:rsidR="000E550A">
        <w:t xml:space="preserve"> and </w:t>
      </w:r>
      <w:r w:rsidR="003C6B2A">
        <w:t>starting to</w:t>
      </w:r>
      <w:r w:rsidR="000E550A">
        <w:t xml:space="preserve"> </w:t>
      </w:r>
      <w:r w:rsidR="003C6B2A">
        <w:t>manufacture</w:t>
      </w:r>
      <w:r w:rsidR="00FE1CE5">
        <w:t xml:space="preserve"> </w:t>
      </w:r>
      <w:r w:rsidR="000E550A">
        <w:t>our</w:t>
      </w:r>
      <w:r w:rsidR="000E550A" w:rsidRPr="00524014">
        <w:t xml:space="preserve"> product for sale to the healthcare industry</w:t>
      </w:r>
      <w:r w:rsidR="000E550A">
        <w:t>.</w:t>
      </w:r>
    </w:p>
    <w:p w14:paraId="5E1375E7" w14:textId="0AB9AD17" w:rsidR="000E550A" w:rsidRDefault="00060316" w:rsidP="00AD1C07">
      <w:pPr>
        <w:pStyle w:val="Heading3"/>
      </w:pPr>
      <w:r>
        <w:t>What is our b</w:t>
      </w:r>
      <w:r w:rsidR="000E550A" w:rsidRPr="00B411A1">
        <w:t xml:space="preserve">usiness </w:t>
      </w:r>
      <w:r w:rsidR="004C4DF9">
        <w:t>s</w:t>
      </w:r>
      <w:r w:rsidR="000E550A" w:rsidRPr="00B411A1">
        <w:t>trategy</w:t>
      </w:r>
      <w:r w:rsidR="00617E3B">
        <w:t>?</w:t>
      </w:r>
    </w:p>
    <w:p w14:paraId="2B9F0FE9" w14:textId="1D9B66FC" w:rsidR="000E550A" w:rsidRDefault="00835AF3" w:rsidP="00AD1C07">
      <w:pPr>
        <w:pStyle w:val="Templatecommentarytext"/>
      </w:pPr>
      <w:r>
        <w:t>E</w:t>
      </w:r>
      <w:r w:rsidR="000E550A" w:rsidRPr="00EE434A">
        <w:t xml:space="preserve">xplain your </w:t>
      </w:r>
      <w:r w:rsidR="00DF68C2">
        <w:t>company</w:t>
      </w:r>
      <w:r w:rsidR="00C7359B">
        <w:t>’</w:t>
      </w:r>
      <w:r w:rsidR="00DF68C2">
        <w:t xml:space="preserve">s </w:t>
      </w:r>
      <w:r w:rsidR="000E550A" w:rsidRPr="00EE434A">
        <w:t>business objectives and strategy</w:t>
      </w:r>
      <w:r w:rsidR="00397ED8">
        <w:t xml:space="preserve">. </w:t>
      </w:r>
      <w:r w:rsidR="000E550A" w:rsidRPr="00EE434A">
        <w:t xml:space="preserve">Specify the </w:t>
      </w:r>
      <w:r w:rsidR="00397ED8">
        <w:t xml:space="preserve">expected </w:t>
      </w:r>
      <w:r w:rsidR="000E550A" w:rsidRPr="00EE434A">
        <w:t>timeframe for achieving these objectives</w:t>
      </w:r>
      <w:r>
        <w:t xml:space="preserve"> (but only if you have a reaso</w:t>
      </w:r>
      <w:r w:rsidR="00397ED8">
        <w:t>nable basis for this)</w:t>
      </w:r>
      <w:r w:rsidR="000E550A" w:rsidRPr="00EE434A">
        <w:t>.</w:t>
      </w:r>
      <w:r w:rsidR="00397ED8" w:rsidRPr="00397ED8">
        <w:t xml:space="preserve"> </w:t>
      </w:r>
      <w:r w:rsidR="00397ED8">
        <w:t xml:space="preserve">See </w:t>
      </w:r>
      <w:r w:rsidR="00397ED8" w:rsidRPr="00521219">
        <w:t xml:space="preserve">Table 14 in </w:t>
      </w:r>
      <w:hyperlink r:id="rId20" w:history="1">
        <w:r w:rsidR="00397ED8" w:rsidRPr="00C0667E">
          <w:rPr>
            <w:rStyle w:val="Hyperlink"/>
          </w:rPr>
          <w:t xml:space="preserve">RG </w:t>
        </w:r>
        <w:r w:rsidR="001013EB" w:rsidRPr="00C0667E">
          <w:rPr>
            <w:rStyle w:val="Hyperlink"/>
          </w:rPr>
          <w:t>261</w:t>
        </w:r>
      </w:hyperlink>
      <w:r w:rsidR="00397ED8" w:rsidRPr="004A7350">
        <w:t xml:space="preserve"> for</w:t>
      </w:r>
      <w:r w:rsidR="00397ED8">
        <w:t xml:space="preserve"> further guidance. </w:t>
      </w:r>
      <w:r w:rsidR="000E550A">
        <w:t>An illustrative example is provided below.</w:t>
      </w:r>
    </w:p>
    <w:p w14:paraId="10323431" w14:textId="77777777" w:rsidR="000E550A" w:rsidRDefault="00E257CB" w:rsidP="00CF3399">
      <w:pPr>
        <w:pStyle w:val="BodyText"/>
      </w:pPr>
      <w:r>
        <w:t xml:space="preserve">We </w:t>
      </w:r>
      <w:r w:rsidR="000E550A" w:rsidRPr="00524014">
        <w:t>plan to expand the business through the development and manufacture of our pro</w:t>
      </w:r>
      <w:r w:rsidR="00851714">
        <w:t xml:space="preserve">duct over the next </w:t>
      </w:r>
      <w:r w:rsidR="004C4DF9">
        <w:t>one to three</w:t>
      </w:r>
      <w:r w:rsidR="00851714">
        <w:t xml:space="preserve"> years.</w:t>
      </w:r>
    </w:p>
    <w:p w14:paraId="7108E768" w14:textId="1031EEE0" w:rsidR="000E550A" w:rsidRPr="00524014" w:rsidRDefault="000E550A" w:rsidP="00CF3399">
      <w:pPr>
        <w:pStyle w:val="BodyText"/>
      </w:pPr>
      <w:r w:rsidRPr="00524014">
        <w:t xml:space="preserve">Over this </w:t>
      </w:r>
      <w:r w:rsidR="00C91966" w:rsidRPr="00524014">
        <w:t>period,</w:t>
      </w:r>
      <w:r w:rsidRPr="00524014">
        <w:t xml:space="preserve"> we intend to </w:t>
      </w:r>
      <w:r w:rsidR="00880534">
        <w:t xml:space="preserve">obtain </w:t>
      </w:r>
      <w:r w:rsidRPr="00524014">
        <w:t>patents and regulatory approvals for our product, undertake further clinical trials and commence manufacturing our product for commercial sale</w:t>
      </w:r>
      <w:r w:rsidR="00880534">
        <w:t xml:space="preserve"> and</w:t>
      </w:r>
      <w:r w:rsidR="0052669F">
        <w:t xml:space="preserve"> licensing</w:t>
      </w:r>
      <w:r w:rsidRPr="00524014">
        <w:t xml:space="preserve">. </w:t>
      </w:r>
      <w:r w:rsidR="00880534">
        <w:t>W</w:t>
      </w:r>
      <w:r w:rsidRPr="00524014">
        <w:t>e do not expect to make any income in the short to medium term.</w:t>
      </w:r>
    </w:p>
    <w:p w14:paraId="7DA2760A" w14:textId="5BB29EA4" w:rsidR="000E550A" w:rsidRDefault="003F0D05" w:rsidP="00AD1C07">
      <w:pPr>
        <w:pStyle w:val="Heading3"/>
      </w:pPr>
      <w:r>
        <w:lastRenderedPageBreak/>
        <w:t>What is our b</w:t>
      </w:r>
      <w:r w:rsidR="000E550A">
        <w:t xml:space="preserve">usiness </w:t>
      </w:r>
      <w:r w:rsidR="004C4DF9">
        <w:t>m</w:t>
      </w:r>
      <w:r w:rsidR="000E550A">
        <w:t>odel</w:t>
      </w:r>
      <w:r>
        <w:t>?</w:t>
      </w:r>
    </w:p>
    <w:p w14:paraId="5C97682C" w14:textId="1FD1FC26" w:rsidR="000E550A" w:rsidRDefault="000E550A">
      <w:pPr>
        <w:pStyle w:val="Templatecommentarytext"/>
      </w:pPr>
      <w:r w:rsidRPr="00EE434A">
        <w:t>Provide a description of your business model</w:t>
      </w:r>
      <w:r w:rsidR="004C4DF9">
        <w:t xml:space="preserve"> – </w:t>
      </w:r>
      <w:r w:rsidRPr="00EE434A">
        <w:t>that is, how you propose to make money and generate income or capital growth.</w:t>
      </w:r>
      <w:r w:rsidR="00397ED8" w:rsidRPr="00397ED8">
        <w:t xml:space="preserve"> </w:t>
      </w:r>
      <w:r w:rsidR="00397ED8">
        <w:t xml:space="preserve">See </w:t>
      </w:r>
      <w:r w:rsidR="00397ED8" w:rsidRPr="004A7350">
        <w:t>Table 1</w:t>
      </w:r>
      <w:r w:rsidR="00397ED8">
        <w:t>4</w:t>
      </w:r>
      <w:r w:rsidR="00397ED8" w:rsidRPr="004A7350">
        <w:t xml:space="preserve"> </w:t>
      </w:r>
      <w:r w:rsidR="00397ED8" w:rsidRPr="00521219">
        <w:t xml:space="preserve">in </w:t>
      </w:r>
      <w:hyperlink r:id="rId21" w:history="1">
        <w:r w:rsidR="00397ED8" w:rsidRPr="00C0667E">
          <w:rPr>
            <w:rStyle w:val="Hyperlink"/>
          </w:rPr>
          <w:t xml:space="preserve">RG </w:t>
        </w:r>
        <w:r w:rsidR="001013EB" w:rsidRPr="00C0667E">
          <w:rPr>
            <w:rStyle w:val="Hyperlink"/>
          </w:rPr>
          <w:t>261</w:t>
        </w:r>
      </w:hyperlink>
      <w:r w:rsidR="00397ED8" w:rsidRPr="004A7350">
        <w:t xml:space="preserve"> for further</w:t>
      </w:r>
      <w:r w:rsidR="00397ED8">
        <w:t xml:space="preserve"> guidance. </w:t>
      </w:r>
      <w:r>
        <w:t>An illustrative example is provided below.</w:t>
      </w:r>
    </w:p>
    <w:p w14:paraId="37845AA5" w14:textId="77777777" w:rsidR="000E550A" w:rsidRPr="00AB0DD0" w:rsidRDefault="000E550A" w:rsidP="00CF3399">
      <w:pPr>
        <w:pStyle w:val="BodyText"/>
      </w:pPr>
      <w:r w:rsidRPr="00AB0DD0">
        <w:t xml:space="preserve">We anticipate that our main source of revenue will be the sale </w:t>
      </w:r>
      <w:r w:rsidR="00464439">
        <w:t xml:space="preserve">and licensing </w:t>
      </w:r>
      <w:r w:rsidRPr="00AB0DD0">
        <w:t>of our new bionics technolo</w:t>
      </w:r>
      <w:r w:rsidR="00851714" w:rsidRPr="00AB0DD0">
        <w:t>gy to the healthcare industry.</w:t>
      </w:r>
    </w:p>
    <w:p w14:paraId="6B962CAD" w14:textId="66B756EA" w:rsidR="000E550A" w:rsidRPr="003F46BE" w:rsidRDefault="000E550A" w:rsidP="00CF3399">
      <w:pPr>
        <w:pStyle w:val="BodyText"/>
      </w:pPr>
      <w:r w:rsidRPr="00AB0DD0">
        <w:t xml:space="preserve">We will specifically target hospitals with a bionics research focus and private healthcare professionals/specialists that utilise bionic technologies in patient care. The success and </w:t>
      </w:r>
      <w:r w:rsidR="00096727" w:rsidRPr="00AB0DD0">
        <w:t>profit</w:t>
      </w:r>
      <w:r w:rsidR="00096727">
        <w:t>ability</w:t>
      </w:r>
      <w:r w:rsidR="00096727" w:rsidRPr="00AB0DD0">
        <w:t xml:space="preserve"> </w:t>
      </w:r>
      <w:r w:rsidRPr="00AB0DD0">
        <w:t xml:space="preserve">of the </w:t>
      </w:r>
      <w:r w:rsidR="00880534">
        <w:t>Company</w:t>
      </w:r>
      <w:r w:rsidR="00880534" w:rsidRPr="00AB0DD0">
        <w:t xml:space="preserve"> </w:t>
      </w:r>
      <w:r w:rsidRPr="00AB0DD0">
        <w:t xml:space="preserve">will depend on </w:t>
      </w:r>
      <w:r w:rsidR="00E257CB">
        <w:t>our</w:t>
      </w:r>
      <w:r w:rsidRPr="00AB0DD0">
        <w:t xml:space="preserve"> ability to secure a long-term and large scale customer base</w:t>
      </w:r>
      <w:r w:rsidR="00464439">
        <w:t xml:space="preserve"> or licensing arrangements</w:t>
      </w:r>
      <w:r w:rsidRPr="00AB0DD0">
        <w:t xml:space="preserve"> in order to sell </w:t>
      </w:r>
      <w:r w:rsidR="00464439">
        <w:t xml:space="preserve">and license </w:t>
      </w:r>
      <w:r w:rsidRPr="00AB0DD0">
        <w:t>our product at a profit</w:t>
      </w:r>
      <w:r w:rsidR="00851714" w:rsidRPr="00AB0DD0">
        <w:t>.</w:t>
      </w:r>
    </w:p>
    <w:p w14:paraId="7B3CE6A6" w14:textId="60A9B164" w:rsidR="000E550A" w:rsidRDefault="0025239F" w:rsidP="00AD1C07">
      <w:pPr>
        <w:pStyle w:val="Heading3"/>
      </w:pPr>
      <w:r>
        <w:t>What does our o</w:t>
      </w:r>
      <w:r w:rsidR="000E550A" w:rsidRPr="00760AF9">
        <w:t>rganisation</w:t>
      </w:r>
      <w:r>
        <w:t xml:space="preserve"> look like?</w:t>
      </w:r>
    </w:p>
    <w:p w14:paraId="6A696D9B" w14:textId="55C306C9" w:rsidR="000E550A" w:rsidRPr="00EE434A" w:rsidRDefault="000E550A" w:rsidP="00302070">
      <w:pPr>
        <w:pStyle w:val="Templatecommentarytext"/>
      </w:pPr>
      <w:r w:rsidRPr="00EE434A">
        <w:t>Provide a description of your organisational structure.</w:t>
      </w:r>
      <w:r w:rsidR="009A48E8">
        <w:t xml:space="preserve"> </w:t>
      </w:r>
      <w:r w:rsidR="00397ED8">
        <w:t xml:space="preserve">See </w:t>
      </w:r>
      <w:r w:rsidR="00397ED8" w:rsidRPr="004A7350">
        <w:t>Table 1</w:t>
      </w:r>
      <w:r w:rsidR="00397ED8">
        <w:t>4</w:t>
      </w:r>
      <w:r w:rsidR="00397ED8" w:rsidRPr="004A7350">
        <w:t xml:space="preserve"> </w:t>
      </w:r>
      <w:r w:rsidR="00397ED8" w:rsidRPr="00521219">
        <w:t xml:space="preserve">in </w:t>
      </w:r>
      <w:hyperlink r:id="rId22" w:history="1">
        <w:r w:rsidR="00397ED8" w:rsidRPr="00DC3385">
          <w:rPr>
            <w:rStyle w:val="Hyperlink"/>
          </w:rPr>
          <w:t xml:space="preserve">RG </w:t>
        </w:r>
        <w:r w:rsidR="001013EB" w:rsidRPr="00DC3385">
          <w:rPr>
            <w:rStyle w:val="Hyperlink"/>
          </w:rPr>
          <w:t>261</w:t>
        </w:r>
      </w:hyperlink>
      <w:r w:rsidR="00397ED8" w:rsidRPr="00521219">
        <w:t xml:space="preserve"> for</w:t>
      </w:r>
      <w:r w:rsidR="00397ED8" w:rsidRPr="004A7350">
        <w:t xml:space="preserve"> further</w:t>
      </w:r>
      <w:r w:rsidR="00397ED8">
        <w:t xml:space="preserve"> guidance on what information should be included. </w:t>
      </w:r>
      <w:r w:rsidRPr="00EE434A">
        <w:t xml:space="preserve">An </w:t>
      </w:r>
      <w:r w:rsidR="00D425C3">
        <w:t xml:space="preserve">illustrative </w:t>
      </w:r>
      <w:r w:rsidRPr="00EE434A">
        <w:t>example is provided below.</w:t>
      </w:r>
    </w:p>
    <w:p w14:paraId="699EC486" w14:textId="77777777" w:rsidR="00835AF3" w:rsidRDefault="005811CA" w:rsidP="00DF6B6B">
      <w:pPr>
        <w:pStyle w:val="Tablefiguretitle"/>
        <w:keepNext w:val="0"/>
      </w:pPr>
      <w:r w:rsidRPr="006B2552">
        <w:t>Figure 1: Organisational structure</w:t>
      </w:r>
    </w:p>
    <w:p w14:paraId="0AE63421" w14:textId="77777777" w:rsidR="005811CA" w:rsidRDefault="002F03B3" w:rsidP="00DF6B6B">
      <w:pPr>
        <w:pStyle w:val="Tablefiguretitle"/>
        <w:keepNext w:val="0"/>
      </w:pPr>
      <w:r>
        <w:rPr>
          <w:noProof/>
          <w:lang w:eastAsia="en-AU"/>
        </w:rPr>
        <mc:AlternateContent>
          <mc:Choice Requires="wpc">
            <w:drawing>
              <wp:inline distT="0" distB="0" distL="0" distR="0" wp14:anchorId="55E62870" wp14:editId="43BF1ED3">
                <wp:extent cx="5857875" cy="3067050"/>
                <wp:effectExtent l="0" t="0" r="0" b="19050"/>
                <wp:docPr id="3" name="Canvas 23" descr="Flowchart showing the organisational structure of the Company, which is explained below (accessible version)."/>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79"/>
                        <wps:cNvSpPr>
                          <a:spLocks noChangeArrowheads="1"/>
                        </wps:cNvSpPr>
                        <wps:spPr bwMode="auto">
                          <a:xfrm>
                            <a:off x="0" y="990600"/>
                            <a:ext cx="1819275"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192C9813"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Research and Development</w:t>
                              </w:r>
                            </w:p>
                            <w:p w14:paraId="57292A62" w14:textId="3FCE6720" w:rsidR="00B225FC" w:rsidRPr="00AF2E61" w:rsidRDefault="00B225FC" w:rsidP="003C6B2A">
                              <w:pPr>
                                <w:spacing w:before="120" w:after="0"/>
                                <w:jc w:val="center"/>
                                <w:rPr>
                                  <w:rFonts w:ascii="Arial" w:hAnsi="Arial" w:cs="Arial"/>
                                  <w:bCs/>
                                  <w:color w:val="000000"/>
                                  <w:sz w:val="18"/>
                                  <w:szCs w:val="18"/>
                                </w:rPr>
                              </w:pPr>
                              <w:r w:rsidRPr="00AF2E61">
                                <w:rPr>
                                  <w:rFonts w:ascii="Arial" w:hAnsi="Arial" w:cs="Arial"/>
                                  <w:bCs/>
                                  <w:color w:val="000000"/>
                                  <w:sz w:val="18"/>
                                  <w:szCs w:val="18"/>
                                </w:rPr>
                                <w:t>H</w:t>
                              </w:r>
                              <w:r>
                                <w:rPr>
                                  <w:rFonts w:ascii="Arial" w:hAnsi="Arial" w:cs="Arial"/>
                                  <w:bCs/>
                                  <w:color w:val="000000"/>
                                  <w:sz w:val="18"/>
                                  <w:szCs w:val="18"/>
                                </w:rPr>
                                <w:t>ead of Research and Development</w:t>
                              </w:r>
                              <w:r w:rsidRPr="00AF2E61">
                                <w:rPr>
                                  <w:rFonts w:ascii="Arial" w:hAnsi="Arial" w:cs="Arial"/>
                                  <w:bCs/>
                                  <w:color w:val="000000"/>
                                  <w:sz w:val="18"/>
                                  <w:szCs w:val="18"/>
                                </w:rPr>
                                <w:t>/</w:t>
                              </w:r>
                              <w:r>
                                <w:rPr>
                                  <w:rFonts w:ascii="Arial" w:hAnsi="Arial" w:cs="Arial"/>
                                  <w:bCs/>
                                  <w:color w:val="000000"/>
                                  <w:sz w:val="18"/>
                                  <w:szCs w:val="18"/>
                                </w:rPr>
                                <w:t xml:space="preserve"> </w:t>
                              </w:r>
                              <w:r w:rsidRPr="00AF2E61">
                                <w:rPr>
                                  <w:rFonts w:ascii="Arial" w:hAnsi="Arial" w:cs="Arial"/>
                                  <w:bCs/>
                                  <w:color w:val="000000"/>
                                  <w:sz w:val="18"/>
                                  <w:szCs w:val="18"/>
                                </w:rPr>
                                <w:t>Executive</w:t>
                              </w:r>
                              <w:r>
                                <w:rPr>
                                  <w:rFonts w:ascii="Arial" w:hAnsi="Arial" w:cs="Arial"/>
                                  <w:bCs/>
                                  <w:color w:val="000000"/>
                                  <w:sz w:val="18"/>
                                  <w:szCs w:val="18"/>
                                </w:rPr>
                                <w:t> </w:t>
                              </w:r>
                              <w:r w:rsidRPr="00AF2E61">
                                <w:rPr>
                                  <w:rFonts w:ascii="Arial" w:hAnsi="Arial" w:cs="Arial"/>
                                  <w:bCs/>
                                  <w:color w:val="000000"/>
                                  <w:sz w:val="18"/>
                                  <w:szCs w:val="18"/>
                                </w:rPr>
                                <w:t>Director: Dr Y</w:t>
                              </w:r>
                            </w:p>
                            <w:p w14:paraId="3518D098"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4" name="Text Box 76"/>
                        <wps:cNvSpPr txBox="1">
                          <a:spLocks noChangeArrowheads="1"/>
                        </wps:cNvSpPr>
                        <wps:spPr bwMode="auto">
                          <a:xfrm>
                            <a:off x="1948461" y="0"/>
                            <a:ext cx="1809469" cy="770168"/>
                          </a:xfrm>
                          <a:prstGeom prst="rect">
                            <a:avLst/>
                          </a:prstGeom>
                          <a:solidFill>
                            <a:srgbClr val="4F81BD">
                              <a:lumMod val="75000"/>
                            </a:srgbClr>
                          </a:solidFill>
                          <a:ln w="9525" cap="flat" cmpd="sng" algn="ctr">
                            <a:solidFill>
                              <a:sysClr val="windowText" lastClr="000000"/>
                            </a:solidFill>
                            <a:prstDash val="solid"/>
                            <a:headEnd/>
                            <a:tailEnd/>
                          </a:ln>
                          <a:effectLst/>
                        </wps:spPr>
                        <wps:txbx>
                          <w:txbxContent>
                            <w:p w14:paraId="6F9C2487" w14:textId="77777777" w:rsidR="00B225FC" w:rsidRPr="00AF2E61" w:rsidRDefault="00B225FC" w:rsidP="003C6B2A">
                              <w:pPr>
                                <w:spacing w:before="120" w:after="0"/>
                                <w:jc w:val="center"/>
                                <w:rPr>
                                  <w:rFonts w:ascii="Arial" w:hAnsi="Arial" w:cs="Arial"/>
                                  <w:b/>
                                  <w:color w:val="FFFFFF"/>
                                  <w:sz w:val="18"/>
                                  <w:szCs w:val="18"/>
                                </w:rPr>
                              </w:pPr>
                              <w:r w:rsidRPr="00AF2E61">
                                <w:rPr>
                                  <w:rFonts w:ascii="Arial" w:hAnsi="Arial" w:cs="Arial"/>
                                  <w:b/>
                                  <w:color w:val="FFFFFF"/>
                                  <w:sz w:val="18"/>
                                  <w:szCs w:val="18"/>
                                </w:rPr>
                                <w:t>Executive Director</w:t>
                              </w:r>
                            </w:p>
                            <w:p w14:paraId="54324B20" w14:textId="77777777" w:rsidR="00B225FC" w:rsidRPr="00FD5942" w:rsidRDefault="00B225FC" w:rsidP="003C6B2A">
                              <w:pPr>
                                <w:spacing w:before="120" w:after="0" w:line="240" w:lineRule="exact"/>
                                <w:jc w:val="center"/>
                                <w:rPr>
                                  <w:rFonts w:ascii="Arial" w:hAnsi="Arial" w:cs="Arial"/>
                                  <w:color w:val="FFFFFF"/>
                                  <w:sz w:val="18"/>
                                  <w:szCs w:val="18"/>
                                </w:rPr>
                              </w:pPr>
                              <w:r w:rsidRPr="00FD5942">
                                <w:rPr>
                                  <w:rFonts w:ascii="Arial" w:hAnsi="Arial" w:cs="Arial"/>
                                  <w:color w:val="FFFFFF"/>
                                  <w:sz w:val="18"/>
                                  <w:szCs w:val="18"/>
                                </w:rPr>
                                <w:t>Managing Director:</w:t>
                              </w:r>
                            </w:p>
                            <w:p w14:paraId="2878DCAC" w14:textId="77777777" w:rsidR="00B225FC" w:rsidRPr="00FD5942" w:rsidRDefault="00B225FC" w:rsidP="00FE1CE5">
                              <w:pPr>
                                <w:spacing w:after="0" w:line="240" w:lineRule="exact"/>
                                <w:jc w:val="center"/>
                                <w:rPr>
                                  <w:color w:val="FFFFFF"/>
                                </w:rPr>
                              </w:pPr>
                              <w:r w:rsidRPr="00FD5942">
                                <w:rPr>
                                  <w:rFonts w:ascii="Arial" w:hAnsi="Arial" w:cs="Arial"/>
                                  <w:color w:val="FFFFFF"/>
                                  <w:sz w:val="18"/>
                                  <w:szCs w:val="18"/>
                                </w:rPr>
                                <w:t>Mr X</w:t>
                              </w:r>
                            </w:p>
                          </w:txbxContent>
                        </wps:txbx>
                        <wps:bodyPr rot="0" vert="horz" wrap="square" lIns="91440" tIns="45720" rIns="91440" bIns="45720" anchor="t" anchorCtr="0" upright="1">
                          <a:noAutofit/>
                        </wps:bodyPr>
                      </wps:wsp>
                      <wps:wsp>
                        <wps:cNvPr id="9" name="AutoShape 79"/>
                        <wps:cNvSpPr>
                          <a:spLocks noChangeArrowheads="1"/>
                        </wps:cNvSpPr>
                        <wps:spPr bwMode="auto">
                          <a:xfrm>
                            <a:off x="1949731" y="990600"/>
                            <a:ext cx="1808199"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5899C4AD"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Product Manufacturing</w:t>
                              </w:r>
                            </w:p>
                            <w:p w14:paraId="1E1B14D7" w14:textId="77777777" w:rsidR="00B225FC" w:rsidRPr="00AF2E61" w:rsidRDefault="00B225FC"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Product Development:</w:t>
                              </w:r>
                            </w:p>
                            <w:p w14:paraId="0FFB367A" w14:textId="77777777" w:rsidR="00B225FC" w:rsidRPr="00AF2E61" w:rsidRDefault="00B225FC" w:rsidP="003C6B2A">
                              <w:pPr>
                                <w:spacing w:after="0"/>
                                <w:jc w:val="center"/>
                                <w:rPr>
                                  <w:rFonts w:ascii="Arial" w:hAnsi="Arial" w:cs="Arial"/>
                                  <w:bCs/>
                                  <w:color w:val="000000"/>
                                  <w:sz w:val="18"/>
                                  <w:szCs w:val="18"/>
                                </w:rPr>
                              </w:pPr>
                              <w:r w:rsidRPr="00AF2E61">
                                <w:rPr>
                                  <w:rFonts w:ascii="Arial" w:hAnsi="Arial" w:cs="Arial"/>
                                  <w:bCs/>
                                  <w:color w:val="000000"/>
                                  <w:sz w:val="18"/>
                                  <w:szCs w:val="18"/>
                                </w:rPr>
                                <w:t>Ms A</w:t>
                              </w:r>
                            </w:p>
                            <w:p w14:paraId="5EA6F7CD" w14:textId="77777777" w:rsidR="00B225FC" w:rsidRPr="00AF2E61" w:rsidRDefault="00B225FC"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10" name="AutoShape 79"/>
                        <wps:cNvSpPr>
                          <a:spLocks noChangeArrowheads="1"/>
                        </wps:cNvSpPr>
                        <wps:spPr bwMode="auto">
                          <a:xfrm>
                            <a:off x="3880551" y="990600"/>
                            <a:ext cx="1823994"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5378804A"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Sales and Marketing</w:t>
                              </w:r>
                            </w:p>
                            <w:p w14:paraId="50DE7956" w14:textId="77777777" w:rsidR="00B225FC" w:rsidRPr="00AF2E61" w:rsidRDefault="00B225FC"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Sales:</w:t>
                              </w:r>
                            </w:p>
                            <w:p w14:paraId="01E1CC03" w14:textId="77777777" w:rsidR="00B225FC" w:rsidRPr="00AF2E61" w:rsidRDefault="00B225FC" w:rsidP="003C6B2A">
                              <w:pPr>
                                <w:spacing w:after="0" w:line="240" w:lineRule="exact"/>
                                <w:jc w:val="center"/>
                                <w:rPr>
                                  <w:rFonts w:ascii="Arial" w:hAnsi="Arial" w:cs="Arial"/>
                                  <w:bCs/>
                                  <w:color w:val="000000"/>
                                  <w:sz w:val="18"/>
                                  <w:szCs w:val="18"/>
                                </w:rPr>
                              </w:pPr>
                              <w:r w:rsidRPr="00AF2E61">
                                <w:rPr>
                                  <w:rFonts w:ascii="Arial" w:hAnsi="Arial" w:cs="Arial"/>
                                  <w:bCs/>
                                  <w:color w:val="000000"/>
                                  <w:sz w:val="18"/>
                                  <w:szCs w:val="18"/>
                                </w:rPr>
                                <w:t xml:space="preserve">Mr B </w:t>
                              </w:r>
                            </w:p>
                            <w:p w14:paraId="4258FE89" w14:textId="77777777" w:rsidR="00B225FC" w:rsidRPr="00AF2E61" w:rsidRDefault="00B225FC"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11" name="AutoShape 79"/>
                        <wps:cNvSpPr>
                          <a:spLocks noChangeArrowheads="1"/>
                        </wps:cNvSpPr>
                        <wps:spPr bwMode="auto">
                          <a:xfrm>
                            <a:off x="1948461" y="2461248"/>
                            <a:ext cx="1808199" cy="605802"/>
                          </a:xfrm>
                          <a:prstGeom prst="rect">
                            <a:avLst/>
                          </a:prstGeom>
                          <a:noFill/>
                          <a:ln w="9525" cap="flat" cmpd="sng" algn="ctr">
                            <a:solidFill>
                              <a:sysClr val="windowText" lastClr="000000"/>
                            </a:solidFill>
                            <a:prstDash val="solid"/>
                            <a:headEnd/>
                            <a:tailEnd/>
                          </a:ln>
                          <a:effectLst/>
                        </wps:spPr>
                        <wps:txbx>
                          <w:txbxContent>
                            <w:p w14:paraId="3632B2D0"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Contract Manufacturer</w:t>
                              </w:r>
                            </w:p>
                            <w:p w14:paraId="5202A882" w14:textId="77777777" w:rsidR="00B225FC" w:rsidRPr="00AF2E61" w:rsidRDefault="00B225FC" w:rsidP="003C6B2A">
                              <w:pPr>
                                <w:spacing w:before="120" w:after="0"/>
                                <w:jc w:val="center"/>
                                <w:rPr>
                                  <w:color w:val="000000"/>
                                </w:rPr>
                              </w:pPr>
                              <w:r w:rsidRPr="00AF2E61">
                                <w:rPr>
                                  <w:rFonts w:ascii="Arial" w:hAnsi="Arial" w:cs="Arial"/>
                                  <w:bCs/>
                                  <w:color w:val="000000"/>
                                  <w:sz w:val="18"/>
                                  <w:szCs w:val="18"/>
                                </w:rPr>
                                <w:t>Co X Ltd</w:t>
                              </w:r>
                            </w:p>
                          </w:txbxContent>
                        </wps:txbx>
                        <wps:bodyPr rot="0" vert="horz" wrap="square" lIns="91440" tIns="45720" rIns="91440" bIns="45720" anchor="t" anchorCtr="0" upright="1">
                          <a:noAutofit/>
                        </wps:bodyPr>
                      </wps:wsp>
                      <wps:wsp>
                        <wps:cNvPr id="19" name="Straight Connector 19"/>
                        <wps:cNvCnPr>
                          <a:stCxn id="4" idx="2"/>
                          <a:endCxn id="9" idx="0"/>
                        </wps:cNvCnPr>
                        <wps:spPr>
                          <a:xfrm>
                            <a:off x="2853196" y="770168"/>
                            <a:ext cx="635" cy="220432"/>
                          </a:xfrm>
                          <a:prstGeom prst="line">
                            <a:avLst/>
                          </a:prstGeom>
                          <a:noFill/>
                          <a:ln w="9525" cap="flat" cmpd="sng" algn="ctr">
                            <a:solidFill>
                              <a:sysClr val="windowText" lastClr="000000"/>
                            </a:solidFill>
                            <a:prstDash val="solid"/>
                          </a:ln>
                          <a:effectLst/>
                        </wps:spPr>
                        <wps:bodyPr/>
                      </wps:wsp>
                      <wps:wsp>
                        <wps:cNvPr id="20" name="Elbow Connector 20"/>
                        <wps:cNvCnPr>
                          <a:stCxn id="4" idx="1"/>
                          <a:endCxn id="2" idx="0"/>
                        </wps:cNvCnPr>
                        <wps:spPr>
                          <a:xfrm rot="10800000" flipV="1">
                            <a:off x="909639" y="385084"/>
                            <a:ext cx="1038823" cy="605516"/>
                          </a:xfrm>
                          <a:prstGeom prst="bentConnector2">
                            <a:avLst/>
                          </a:prstGeom>
                          <a:noFill/>
                          <a:ln w="9525" cap="flat" cmpd="sng" algn="ctr">
                            <a:solidFill>
                              <a:sysClr val="windowText" lastClr="000000"/>
                            </a:solidFill>
                            <a:prstDash val="solid"/>
                          </a:ln>
                          <a:effectLst/>
                        </wps:spPr>
                        <wps:bodyPr/>
                      </wps:wsp>
                      <wps:wsp>
                        <wps:cNvPr id="21" name="Elbow Connector 21"/>
                        <wps:cNvCnPr>
                          <a:stCxn id="4" idx="3"/>
                          <a:endCxn id="10" idx="0"/>
                        </wps:cNvCnPr>
                        <wps:spPr>
                          <a:xfrm>
                            <a:off x="3757930" y="385084"/>
                            <a:ext cx="1034618" cy="605516"/>
                          </a:xfrm>
                          <a:prstGeom prst="bentConnector2">
                            <a:avLst/>
                          </a:prstGeom>
                          <a:noFill/>
                          <a:ln w="9525" cap="flat" cmpd="sng" algn="ctr">
                            <a:solidFill>
                              <a:sysClr val="windowText" lastClr="000000"/>
                            </a:solidFill>
                            <a:prstDash val="solid"/>
                          </a:ln>
                          <a:effectLst/>
                        </wps:spPr>
                        <wps:bodyPr/>
                      </wps:wsp>
                      <wps:wsp>
                        <wps:cNvPr id="1" name="Straight Connector 1"/>
                        <wps:cNvCnPr>
                          <a:stCxn id="9" idx="2"/>
                          <a:endCxn id="11" idx="0"/>
                        </wps:cNvCnPr>
                        <wps:spPr>
                          <a:xfrm flipH="1">
                            <a:off x="2852561" y="2224478"/>
                            <a:ext cx="1270" cy="236770"/>
                          </a:xfrm>
                          <a:prstGeom prst="line">
                            <a:avLst/>
                          </a:prstGeom>
                          <a:noFill/>
                          <a:ln w="9525" cap="flat" cmpd="sng" algn="ctr">
                            <a:solidFill>
                              <a:sysClr val="windowText" lastClr="000000"/>
                            </a:solidFill>
                            <a:prstDash val="dash"/>
                          </a:ln>
                          <a:effectLst/>
                        </wps:spPr>
                        <wps:bodyPr/>
                      </wps:wsp>
                    </wpc:wpc>
                  </a:graphicData>
                </a:graphic>
              </wp:inline>
            </w:drawing>
          </mc:Choice>
          <mc:Fallback>
            <w:pict>
              <v:group w14:anchorId="55E62870" id="Canvas 23" o:spid="_x0000_s1026" editas="canvas" alt="Flowchart showing the organisational structure of the Company, which is explained below (accessible version)." style="width:461.25pt;height:241.5pt;mso-position-horizontal-relative:char;mso-position-vertical-relative:line" coordsize="58578,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HpuwQAAPwaAAAOAAAAZHJzL2Uyb0RvYy54bWzsWVtv2zYUfh+w/0DofbFE3Y04Res024Bu&#10;LZB277RE2cIkUiOZyNmv30dKsp0mabNuS7rNeXAoUjw85/A7V52+2LYNueZK11IsvODE9wgXhSxr&#10;sV54H95ffJd5RBsmStZIwRfeDdfei7NvvzntuzmnciObkisCIkLP+27hbYzp5rOZLja8ZfpEdlxg&#10;sZKqZQaPaj0rFetBvW1m1PeTWS9V2SlZcK0xez4semeOflXxwrytKs0NaRYeeDPuV7nflf2dnZ2y&#10;+VqxblMXIxvsC7hoWS1w6I7UOTOMXKn6Dqm2LpTUsjInhWxnsqrqgjsZIE3gfyTNkolrpp0wBbQz&#10;MYjR30h3tbZ8C3lRNw20MQP1uZ2z/3vcD8dk3+F2dLe7J/3Xzr/csI47sfS8+Pn6nSJ1ufCoRwRr&#10;gZGXV0a6V0ia2wuyp+O1y+6dsqzq7o0sftVEyOWGiTV/qZTsN5yV4Cqw70OEgw32QWMrWfU/yRLk&#10;Gci7u9pWqrUEcQtk6yBxs/Dy3E/8ERd8a0iBlSALcprGHinwQkDDMEszdxCbTzQ6pc33XLbEDhae&#10;AvDcGez6jTaWJzafXnEyyKYurcbdg1qvlo0i1wwgjS6y4NW529tcteB4mAbWJ64wDUwP09k0Dfp6&#10;IOPO0of0G0F6CBZTKwGDkVUNMxi2HbSuxdojrFnDeguj3Lm3NusbveMNdlfK/j3U4pGGaYMFqM39&#10;jeq4tdUKfM70ZmDVLdnX2Nxe1mtRurFhdTOMIUIj7DJ3djvqbbq+AQZmu9pim51cyfIGt6rkYNPw&#10;QRhspPrdIz3sGZL9dsUUB6c/CiAjD6LIOgD3EMUpxYM6XFkdrjBRgNTCg6DDcGkGp3HVqXq9wUmB&#10;U5WQFqxV7a54z9WIQZjME9lONNmOvRzySm5JmlhdW5ZG0yFmi/mJ8X/KiII8yqIk8Ags5Y4V+XmU&#10;5IMVpakfJE9tRGk8GtH/yFqca3VucQ/Po9E4rQCKzxpwYCt5Gg62cn/Y8RF4RoM5hp1nDjtjjnKM&#10;PncztwCx9FktKcwyP44/ZUk0zHMEyWMC9xUkcM6Swik9OeZxBzVQAAw/qyUd5m8UiRyNXJKGpHxX&#10;Cx0EpcSPM5+Ouf8XlkK7ytOm//+pQsXhPDri/J5aP9jlXpdGMVtRkaUUAlWzVASL+9JlKcaq3yy3&#10;YtQo/qGQcbgDMEU5rYCoW3GFx9QFGAjY5Nd2AWx9OQF1rPtpFodBnriSZV+W7BGfhGPlT6kfhZ9B&#10;e1MLGx/Z/IHC/+tF+2PK78FX43Kccp+uvLXF+uAWXzcr2R9gBSuPwYorgG5hBd2mx2JlKJcC3zVb&#10;wEnV1N0vUyE9gij38yQE/lD2hlnsZ87s9xgKfKQoNBwSEHjNOHDlOXQ+gXHqDo0NpBUXZmcR9Iio&#10;W13hP9VEfaDZuAu0dxC1K5bROHnY+7j85RaibBb8WEhZDzEiJ0zjNA+x92HoIA6jjW5z1yN0Bie+&#10;72U8vTPaIee+0PVJbzTFp7uRy+Z9j8WO8z8/fOR/EMRoPPbdKKVRNHSoDzwQTYExiyEaJghzltGH&#10;3c+/LoyV6DOPIn22iXxPFHNfPfDFw+lk/Bxkv+EcPruot/9odfYHAAAA//8DAFBLAwQUAAYACAAA&#10;ACEAnCHsOd0AAAAFAQAADwAAAGRycy9kb3ducmV2LnhtbEyPwU7DMBBE70j8g7VI3KhDoNCGOBUC&#10;5cChhzYgrpt4SULtdRS7bfr3GC7lstJoRjNv89VkjTjQ6HvHCm5nCQjixumeWwXvVXmzAOEDskbj&#10;mBScyMOquLzIMdPuyBs6bEMrYgn7DBV0IQyZlL7pyKKfuYE4el9utBiiHFupRzzGcmtkmiQP0mLP&#10;caHDgV46anbbvVVQVpuqNPN0/fnxWr7VuOuX348npa6vpucnEIGmcA7DL35EhyIy1W7P2gujID4S&#10;/m70lmk6B1EruF/cJSCLXP6nL34AAAD//wMAUEsBAi0AFAAGAAgAAAAhALaDOJL+AAAA4QEAABMA&#10;AAAAAAAAAAAAAAAAAAAAAFtDb250ZW50X1R5cGVzXS54bWxQSwECLQAUAAYACAAAACEAOP0h/9YA&#10;AACUAQAACwAAAAAAAAAAAAAAAAAvAQAAX3JlbHMvLnJlbHNQSwECLQAUAAYACAAAACEA8rwx6bsE&#10;AAD8GgAADgAAAAAAAAAAAAAAAAAuAgAAZHJzL2Uyb0RvYy54bWxQSwECLQAUAAYACAAAACEAnCHs&#10;Od0AAAAFAQAADwAAAAAAAAAAAAAAAAAVBwAAZHJzL2Rvd25yZXYueG1sUEsFBgAAAAAEAAQA8wAA&#10;AB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wchart showing the organisational structure of the Company, which is explained below (accessible version)." style="position:absolute;width:58578;height:30670;visibility:visible;mso-wrap-style:square">
                  <v:fill o:detectmouseclick="t"/>
                  <v:path o:connecttype="none"/>
                </v:shape>
                <v:rect id="AutoShape 79" o:spid="_x0000_s1028" style="position:absolute;top:9906;width:18192;height:1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KFwwAAANoAAAAPAAAAZHJzL2Rvd25yZXYueG1sRI9Ba8JA&#10;FITvBf/D8oTe6sYcgqSuIoIglIYaC16f2WcSzL4Nu9sk7a/vFgoeh5n5hllvJ9OJgZxvLStYLhIQ&#10;xJXVLdcKPs+HlxUIH5A1dpZJwTd52G5mT2vMtR35REMZahEh7HNU0ITQ51L6qiGDfmF74ujdrDMY&#10;onS11A7HCDedTJMkkwZbjgsN9rRvqLqXX0aBG3+q3eXd2Kn44OReZG8ZXq5KPc+n3SuIQFN4hP/b&#10;R60ghb8r8QbIzS8AAAD//wMAUEsBAi0AFAAGAAgAAAAhANvh9svuAAAAhQEAABMAAAAAAAAAAAAA&#10;AAAAAAAAAFtDb250ZW50X1R5cGVzXS54bWxQSwECLQAUAAYACAAAACEAWvQsW78AAAAVAQAACwAA&#10;AAAAAAAAAAAAAAAfAQAAX3JlbHMvLnJlbHNQSwECLQAUAAYACAAAACEA7KMChcMAAADaAAAADwAA&#10;AAAAAAAAAAAAAAAHAgAAZHJzL2Rvd25yZXYueG1sUEsFBgAAAAADAAMAtwAAAPcCAAAAAA==&#10;" fillcolor="#dce6f2" strokecolor="windowText">
                  <v:textbox>
                    <w:txbxContent>
                      <w:p w14:paraId="192C9813"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Research and Development</w:t>
                        </w:r>
                      </w:p>
                      <w:p w14:paraId="57292A62" w14:textId="3FCE6720" w:rsidR="00B225FC" w:rsidRPr="00AF2E61" w:rsidRDefault="00B225FC" w:rsidP="003C6B2A">
                        <w:pPr>
                          <w:spacing w:before="120" w:after="0"/>
                          <w:jc w:val="center"/>
                          <w:rPr>
                            <w:rFonts w:ascii="Arial" w:hAnsi="Arial" w:cs="Arial"/>
                            <w:bCs/>
                            <w:color w:val="000000"/>
                            <w:sz w:val="18"/>
                            <w:szCs w:val="18"/>
                          </w:rPr>
                        </w:pPr>
                        <w:r w:rsidRPr="00AF2E61">
                          <w:rPr>
                            <w:rFonts w:ascii="Arial" w:hAnsi="Arial" w:cs="Arial"/>
                            <w:bCs/>
                            <w:color w:val="000000"/>
                            <w:sz w:val="18"/>
                            <w:szCs w:val="18"/>
                          </w:rPr>
                          <w:t>H</w:t>
                        </w:r>
                        <w:r>
                          <w:rPr>
                            <w:rFonts w:ascii="Arial" w:hAnsi="Arial" w:cs="Arial"/>
                            <w:bCs/>
                            <w:color w:val="000000"/>
                            <w:sz w:val="18"/>
                            <w:szCs w:val="18"/>
                          </w:rPr>
                          <w:t>ead of Research and Development</w:t>
                        </w:r>
                        <w:r w:rsidRPr="00AF2E61">
                          <w:rPr>
                            <w:rFonts w:ascii="Arial" w:hAnsi="Arial" w:cs="Arial"/>
                            <w:bCs/>
                            <w:color w:val="000000"/>
                            <w:sz w:val="18"/>
                            <w:szCs w:val="18"/>
                          </w:rPr>
                          <w:t>/</w:t>
                        </w:r>
                        <w:r>
                          <w:rPr>
                            <w:rFonts w:ascii="Arial" w:hAnsi="Arial" w:cs="Arial"/>
                            <w:bCs/>
                            <w:color w:val="000000"/>
                            <w:sz w:val="18"/>
                            <w:szCs w:val="18"/>
                          </w:rPr>
                          <w:t xml:space="preserve"> </w:t>
                        </w:r>
                        <w:r w:rsidRPr="00AF2E61">
                          <w:rPr>
                            <w:rFonts w:ascii="Arial" w:hAnsi="Arial" w:cs="Arial"/>
                            <w:bCs/>
                            <w:color w:val="000000"/>
                            <w:sz w:val="18"/>
                            <w:szCs w:val="18"/>
                          </w:rPr>
                          <w:t>Executive</w:t>
                        </w:r>
                        <w:r>
                          <w:rPr>
                            <w:rFonts w:ascii="Arial" w:hAnsi="Arial" w:cs="Arial"/>
                            <w:bCs/>
                            <w:color w:val="000000"/>
                            <w:sz w:val="18"/>
                            <w:szCs w:val="18"/>
                          </w:rPr>
                          <w:t> </w:t>
                        </w:r>
                        <w:r w:rsidRPr="00AF2E61">
                          <w:rPr>
                            <w:rFonts w:ascii="Arial" w:hAnsi="Arial" w:cs="Arial"/>
                            <w:bCs/>
                            <w:color w:val="000000"/>
                            <w:sz w:val="18"/>
                            <w:szCs w:val="18"/>
                          </w:rPr>
                          <w:t>Director: Dr Y</w:t>
                        </w:r>
                      </w:p>
                      <w:p w14:paraId="3518D098"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shapetype id="_x0000_t202" coordsize="21600,21600" o:spt="202" path="m,l,21600r21600,l21600,xe">
                  <v:stroke joinstyle="miter"/>
                  <v:path gradientshapeok="t" o:connecttype="rect"/>
                </v:shapetype>
                <v:shape id="Text Box 76" o:spid="_x0000_s1029" type="#_x0000_t202" style="position:absolute;left:19484;width:18095;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9wwAAANoAAAAPAAAAZHJzL2Rvd25yZXYueG1sRI9Ba8JA&#10;FITvgv9heYI33VRFJHUTSqEgihQ17fmRfSZps2/D7hrjv+8WCj0OM/MNs80H04qenG8sK3iaJyCI&#10;S6sbrhQUl7fZBoQPyBpby6TgQR7ybDzaYqrtnU/Un0MlIoR9igrqELpUSl/WZNDPbUccvat1BkOU&#10;rpLa4T3CTSsXSbKWBhuOCzV29FpT+X2+GQVf1fFwO7iNXe6Lvlgt9fvl8+Oq1HQyvDyDCDSE//Bf&#10;e6cVrOD3SrwBMvsBAAD//wMAUEsBAi0AFAAGAAgAAAAhANvh9svuAAAAhQEAABMAAAAAAAAAAAAA&#10;AAAAAAAAAFtDb250ZW50X1R5cGVzXS54bWxQSwECLQAUAAYACAAAACEAWvQsW78AAAAVAQAACwAA&#10;AAAAAAAAAAAAAAAfAQAAX3JlbHMvLnJlbHNQSwECLQAUAAYACAAAACEAxuflPcMAAADaAAAADwAA&#10;AAAAAAAAAAAAAAAHAgAAZHJzL2Rvd25yZXYueG1sUEsFBgAAAAADAAMAtwAAAPcCAAAAAA==&#10;" fillcolor="#376092" strokecolor="windowText">
                  <v:textbox>
                    <w:txbxContent>
                      <w:p w14:paraId="6F9C2487" w14:textId="77777777" w:rsidR="00B225FC" w:rsidRPr="00AF2E61" w:rsidRDefault="00B225FC" w:rsidP="003C6B2A">
                        <w:pPr>
                          <w:spacing w:before="120" w:after="0"/>
                          <w:jc w:val="center"/>
                          <w:rPr>
                            <w:rFonts w:ascii="Arial" w:hAnsi="Arial" w:cs="Arial"/>
                            <w:b/>
                            <w:color w:val="FFFFFF"/>
                            <w:sz w:val="18"/>
                            <w:szCs w:val="18"/>
                          </w:rPr>
                        </w:pPr>
                        <w:r w:rsidRPr="00AF2E61">
                          <w:rPr>
                            <w:rFonts w:ascii="Arial" w:hAnsi="Arial" w:cs="Arial"/>
                            <w:b/>
                            <w:color w:val="FFFFFF"/>
                            <w:sz w:val="18"/>
                            <w:szCs w:val="18"/>
                          </w:rPr>
                          <w:t>Executive Director</w:t>
                        </w:r>
                      </w:p>
                      <w:p w14:paraId="54324B20" w14:textId="77777777" w:rsidR="00B225FC" w:rsidRPr="00FD5942" w:rsidRDefault="00B225FC" w:rsidP="003C6B2A">
                        <w:pPr>
                          <w:spacing w:before="120" w:after="0" w:line="240" w:lineRule="exact"/>
                          <w:jc w:val="center"/>
                          <w:rPr>
                            <w:rFonts w:ascii="Arial" w:hAnsi="Arial" w:cs="Arial"/>
                            <w:color w:val="FFFFFF"/>
                            <w:sz w:val="18"/>
                            <w:szCs w:val="18"/>
                          </w:rPr>
                        </w:pPr>
                        <w:r w:rsidRPr="00FD5942">
                          <w:rPr>
                            <w:rFonts w:ascii="Arial" w:hAnsi="Arial" w:cs="Arial"/>
                            <w:color w:val="FFFFFF"/>
                            <w:sz w:val="18"/>
                            <w:szCs w:val="18"/>
                          </w:rPr>
                          <w:t>Managing Director:</w:t>
                        </w:r>
                      </w:p>
                      <w:p w14:paraId="2878DCAC" w14:textId="77777777" w:rsidR="00B225FC" w:rsidRPr="00FD5942" w:rsidRDefault="00B225FC" w:rsidP="00FE1CE5">
                        <w:pPr>
                          <w:spacing w:after="0" w:line="240" w:lineRule="exact"/>
                          <w:jc w:val="center"/>
                          <w:rPr>
                            <w:color w:val="FFFFFF"/>
                          </w:rPr>
                        </w:pPr>
                        <w:r w:rsidRPr="00FD5942">
                          <w:rPr>
                            <w:rFonts w:ascii="Arial" w:hAnsi="Arial" w:cs="Arial"/>
                            <w:color w:val="FFFFFF"/>
                            <w:sz w:val="18"/>
                            <w:szCs w:val="18"/>
                          </w:rPr>
                          <w:t>Mr X</w:t>
                        </w:r>
                      </w:p>
                    </w:txbxContent>
                  </v:textbox>
                </v:shape>
                <v:rect id="AutoShape 79" o:spid="_x0000_s1030" style="position:absolute;left:19497;top:9906;width:18082;height:1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D0wgAAANoAAAAPAAAAZHJzL2Rvd25yZXYueG1sRI9Pi8Iw&#10;FMTvgt8hPMGbpnooa9cosiAIovgPvL5t3rbF5qUk0Xb305sFweMwM79h5svO1OJBzleWFUzGCQji&#10;3OqKCwWX83r0AcIHZI21ZVLwSx6Wi35vjpm2LR/pcQqFiBD2GSooQ2gyKX1ekkE/tg1x9H6sMxii&#10;dIXUDtsIN7WcJkkqDVYcF0ps6Kuk/Ha6GwWu/ctX152x3f7AyW2fblO8fis1HHSrTxCBuvAOv9ob&#10;rWAG/1fiDZCLJwAAAP//AwBQSwECLQAUAAYACAAAACEA2+H2y+4AAACFAQAAEwAAAAAAAAAAAAAA&#10;AAAAAAAAW0NvbnRlbnRfVHlwZXNdLnhtbFBLAQItABQABgAIAAAAIQBa9CxbvwAAABUBAAALAAAA&#10;AAAAAAAAAAAAAB8BAABfcmVscy8ucmVsc1BLAQItABQABgAIAAAAIQDiB5D0wgAAANoAAAAPAAAA&#10;AAAAAAAAAAAAAAcCAABkcnMvZG93bnJldi54bWxQSwUGAAAAAAMAAwC3AAAA9gIAAAAA&#10;" fillcolor="#dce6f2" strokecolor="windowText">
                  <v:textbox>
                    <w:txbxContent>
                      <w:p w14:paraId="5899C4AD"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Product Manufacturing</w:t>
                        </w:r>
                      </w:p>
                      <w:p w14:paraId="1E1B14D7" w14:textId="77777777" w:rsidR="00B225FC" w:rsidRPr="00AF2E61" w:rsidRDefault="00B225FC"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Product Development:</w:t>
                        </w:r>
                      </w:p>
                      <w:p w14:paraId="0FFB367A" w14:textId="77777777" w:rsidR="00B225FC" w:rsidRPr="00AF2E61" w:rsidRDefault="00B225FC" w:rsidP="003C6B2A">
                        <w:pPr>
                          <w:spacing w:after="0"/>
                          <w:jc w:val="center"/>
                          <w:rPr>
                            <w:rFonts w:ascii="Arial" w:hAnsi="Arial" w:cs="Arial"/>
                            <w:bCs/>
                            <w:color w:val="000000"/>
                            <w:sz w:val="18"/>
                            <w:szCs w:val="18"/>
                          </w:rPr>
                        </w:pPr>
                        <w:r w:rsidRPr="00AF2E61">
                          <w:rPr>
                            <w:rFonts w:ascii="Arial" w:hAnsi="Arial" w:cs="Arial"/>
                            <w:bCs/>
                            <w:color w:val="000000"/>
                            <w:sz w:val="18"/>
                            <w:szCs w:val="18"/>
                          </w:rPr>
                          <w:t>Ms A</w:t>
                        </w:r>
                      </w:p>
                      <w:p w14:paraId="5EA6F7CD" w14:textId="77777777" w:rsidR="00B225FC" w:rsidRPr="00AF2E61" w:rsidRDefault="00B225FC"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rect id="AutoShape 79" o:spid="_x0000_s1031" style="position:absolute;left:38805;top:9906;width:18240;height:1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iWwwAAANsAAAAPAAAAZHJzL2Rvd25yZXYueG1sRI9Ba8JA&#10;EIXvBf/DMoK3urGHINFVRBCEUmmt4HXMjkkwOxt2tyb213cOQm8zvDfvfbNcD65Vdwqx8WxgNs1A&#10;EZfeNlwZOH3vXuegYkK22HomAw+KsF6NXpZYWN/zF92PqVISwrFAA3VKXaF1LGtyGKe+Ixbt6oPD&#10;JGuotA3YS7hr9VuW5dphw9JQY0fbmsrb8ccZCP1vuTl/OD8cPjm7HfL3HM8XYybjYbMAlWhI/+bn&#10;9d4KvtDLLzKAXv0BAAD//wMAUEsBAi0AFAAGAAgAAAAhANvh9svuAAAAhQEAABMAAAAAAAAAAAAA&#10;AAAAAAAAAFtDb250ZW50X1R5cGVzXS54bWxQSwECLQAUAAYACAAAACEAWvQsW78AAAAVAQAACwAA&#10;AAAAAAAAAAAAAAAfAQAAX3JlbHMvLnJlbHNQSwECLQAUAAYACAAAACEAjVjIlsMAAADbAAAADwAA&#10;AAAAAAAAAAAAAAAHAgAAZHJzL2Rvd25yZXYueG1sUEsFBgAAAAADAAMAtwAAAPcCAAAAAA==&#10;" fillcolor="#dce6f2" strokecolor="windowText">
                  <v:textbox>
                    <w:txbxContent>
                      <w:p w14:paraId="5378804A"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Sales and Marketing</w:t>
                        </w:r>
                      </w:p>
                      <w:p w14:paraId="50DE7956" w14:textId="77777777" w:rsidR="00B225FC" w:rsidRPr="00AF2E61" w:rsidRDefault="00B225FC"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Sales:</w:t>
                        </w:r>
                      </w:p>
                      <w:p w14:paraId="01E1CC03" w14:textId="77777777" w:rsidR="00B225FC" w:rsidRPr="00AF2E61" w:rsidRDefault="00B225FC" w:rsidP="003C6B2A">
                        <w:pPr>
                          <w:spacing w:after="0" w:line="240" w:lineRule="exact"/>
                          <w:jc w:val="center"/>
                          <w:rPr>
                            <w:rFonts w:ascii="Arial" w:hAnsi="Arial" w:cs="Arial"/>
                            <w:bCs/>
                            <w:color w:val="000000"/>
                            <w:sz w:val="18"/>
                            <w:szCs w:val="18"/>
                          </w:rPr>
                        </w:pPr>
                        <w:r w:rsidRPr="00AF2E61">
                          <w:rPr>
                            <w:rFonts w:ascii="Arial" w:hAnsi="Arial" w:cs="Arial"/>
                            <w:bCs/>
                            <w:color w:val="000000"/>
                            <w:sz w:val="18"/>
                            <w:szCs w:val="18"/>
                          </w:rPr>
                          <w:t xml:space="preserve">Mr B </w:t>
                        </w:r>
                      </w:p>
                      <w:p w14:paraId="4258FE89" w14:textId="77777777" w:rsidR="00B225FC" w:rsidRPr="00AF2E61" w:rsidRDefault="00B225FC"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rect id="AutoShape 79" o:spid="_x0000_s1032" style="position:absolute;left:19484;top:24612;width:18082;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s4wQAAANsAAAAPAAAAZHJzL2Rvd25yZXYueG1sRE9Na8JA&#10;EL0L/odlBG+60UPR6CpSUCv0oLHY65CdJqG7syG7Jqm/3i0UepvH+5z1trdGtNT4yrGC2TQBQZw7&#10;XXGh4OO6nyxA+ICs0TgmBT/kYbsZDtaYatfxhdosFCKGsE9RQRlCnUrp85Is+qmriSP35RqLIcKm&#10;kLrBLoZbI+dJ8iItVhwbSqzptaT8O7tbBcvD7oHv5tOdFpk/3wNej3h7KDUe9bsViEB9+Bf/ud90&#10;nD+D31/iAXLzBAAA//8DAFBLAQItABQABgAIAAAAIQDb4fbL7gAAAIUBAAATAAAAAAAAAAAAAAAA&#10;AAAAAABbQ29udGVudF9UeXBlc10ueG1sUEsBAi0AFAAGAAgAAAAhAFr0LFu/AAAAFQEAAAsAAAAA&#10;AAAAAAAAAAAAHwEAAF9yZWxzLy5yZWxzUEsBAi0AFAAGAAgAAAAhAJe6qzjBAAAA2wAAAA8AAAAA&#10;AAAAAAAAAAAABwIAAGRycy9kb3ducmV2LnhtbFBLBQYAAAAAAwADALcAAAD1AgAAAAA=&#10;" filled="f" strokecolor="windowText">
                  <v:textbox>
                    <w:txbxContent>
                      <w:p w14:paraId="3632B2D0"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Contract Manufacturer</w:t>
                        </w:r>
                      </w:p>
                      <w:p w14:paraId="5202A882" w14:textId="77777777" w:rsidR="00B225FC" w:rsidRPr="00AF2E61" w:rsidRDefault="00B225FC" w:rsidP="003C6B2A">
                        <w:pPr>
                          <w:spacing w:before="120" w:after="0"/>
                          <w:jc w:val="center"/>
                          <w:rPr>
                            <w:color w:val="000000"/>
                          </w:rPr>
                        </w:pPr>
                        <w:r w:rsidRPr="00AF2E61">
                          <w:rPr>
                            <w:rFonts w:ascii="Arial" w:hAnsi="Arial" w:cs="Arial"/>
                            <w:bCs/>
                            <w:color w:val="000000"/>
                            <w:sz w:val="18"/>
                            <w:szCs w:val="18"/>
                          </w:rPr>
                          <w:t>Co X Ltd</w:t>
                        </w:r>
                      </w:p>
                    </w:txbxContent>
                  </v:textbox>
                </v:rect>
                <v:line id="Straight Connector 19" o:spid="_x0000_s1033" style="position:absolute;visibility:visible;mso-wrap-style:square" from="28531,7701" to="2853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v:shapetype id="_x0000_t33" coordsize="21600,21600" o:spt="33" o:oned="t" path="m,l21600,r,21600e" filled="f">
                  <v:stroke joinstyle="miter"/>
                  <v:path arrowok="t" fillok="f" o:connecttype="none"/>
                  <o:lock v:ext="edit" shapetype="t"/>
                </v:shapetype>
                <v:shape id="Elbow Connector 20" o:spid="_x0000_s1034" type="#_x0000_t33" style="position:absolute;left:9096;top:3850;width:10388;height:605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4xvgAAANsAAAAPAAAAZHJzL2Rvd25yZXYueG1sRE/JCsIw&#10;EL0L/kMYwZumChapRhEXEA+Cy8Xb2IxttZmUJmr9e3MQPD7ePp03phQvql1hWcGgH4EgTq0uOFNw&#10;Pm16YxDOI2ssLZOCDzmYz9qtKSbavvlAr6PPRAhhl6CC3PsqkdKlORl0fVsRB+5ma4M+wDqTusZ3&#10;CDelHEZRLA0WHBpyrGiZU/o4Po2Cw+CS7p2+P6+r8nNbcxyP1nKnVLfTLCYgPDX+L/65t1rBMKwP&#10;X8IPkLMvAAAA//8DAFBLAQItABQABgAIAAAAIQDb4fbL7gAAAIUBAAATAAAAAAAAAAAAAAAAAAAA&#10;AABbQ29udGVudF9UeXBlc10ueG1sUEsBAi0AFAAGAAgAAAAhAFr0LFu/AAAAFQEAAAsAAAAAAAAA&#10;AAAAAAAAHwEAAF9yZWxzLy5yZWxzUEsBAi0AFAAGAAgAAAAhAH6WTjG+AAAA2wAAAA8AAAAAAAAA&#10;AAAAAAAABwIAAGRycy9kb3ducmV2LnhtbFBLBQYAAAAAAwADALcAAADyAgAAAAA=&#10;" strokecolor="windowText"/>
                <v:shape id="Elbow Connector 21" o:spid="_x0000_s1035" type="#_x0000_t33" style="position:absolute;left:37579;top:3850;width:10346;height:60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JSOxQAAANsAAAAPAAAAZHJzL2Rvd25yZXYueG1sRI9Ba8JA&#10;FITvBf/D8gQvRTcGKhJdRQSp4KFEPejtkX1mg9m3MbuN8d93C4Ueh5n5hlmue1uLjlpfOVYwnSQg&#10;iAunKy4VnE+78RyED8gaa8ek4EUe1qvB2xIz7Z6cU3cMpYgQ9hkqMCE0mZS+MGTRT1xDHL2bay2G&#10;KNtS6hafEW5rmSbJTFqsOC4YbGhrqLgfv62Cef6Z7C6zx7Xbbvr39MPnX4fcKDUa9psFiEB9+A//&#10;tfdaQTqF3y/xB8jVDwAAAP//AwBQSwECLQAUAAYACAAAACEA2+H2y+4AAACFAQAAEwAAAAAAAAAA&#10;AAAAAAAAAAAAW0NvbnRlbnRfVHlwZXNdLnhtbFBLAQItABQABgAIAAAAIQBa9CxbvwAAABUBAAAL&#10;AAAAAAAAAAAAAAAAAB8BAABfcmVscy8ucmVsc1BLAQItABQABgAIAAAAIQBv2JSOxQAAANsAAAAP&#10;AAAAAAAAAAAAAAAAAAcCAABkcnMvZG93bnJldi54bWxQSwUGAAAAAAMAAwC3AAAA+QIAAAAA&#10;" strokecolor="windowText"/>
                <v:line id="Straight Connector 1" o:spid="_x0000_s1036" style="position:absolute;flip:x;visibility:visible;mso-wrap-style:square" from="28525,22244" to="28538,2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GrwAAAANoAAAAPAAAAZHJzL2Rvd25yZXYueG1sRE9Li8Iw&#10;EL4L/ocwwl5kTRV80DWKioJXu4vgbWjGpthMShNtd3/9RhA8DR/fc5brzlbiQY0vHSsYjxIQxLnT&#10;JRcKfr4PnwsQPiBrrByTgl/ysF71e0tMtWv5RI8sFCKGsE9RgQmhTqX0uSGLfuRq4shdXWMxRNgU&#10;UjfYxnBbyUmSzKTFkmODwZp2hvJbdrcKtkMz2bf3bLubzvT87P7GlykelPoYdJsvEIG68Ba/3Ecd&#10;58PzleeVq38AAAD//wMAUEsBAi0AFAAGAAgAAAAhANvh9svuAAAAhQEAABMAAAAAAAAAAAAAAAAA&#10;AAAAAFtDb250ZW50X1R5cGVzXS54bWxQSwECLQAUAAYACAAAACEAWvQsW78AAAAVAQAACwAAAAAA&#10;AAAAAAAAAAAfAQAAX3JlbHMvLnJlbHNQSwECLQAUAAYACAAAACEAJALxq8AAAADaAAAADwAAAAAA&#10;AAAAAAAAAAAHAgAAZHJzL2Rvd25yZXYueG1sUEsFBgAAAAADAAMAtwAAAPQCAAAAAA==&#10;" strokecolor="windowText">
                  <v:stroke dashstyle="dash"/>
                </v:line>
                <w10:anchorlock/>
              </v:group>
            </w:pict>
          </mc:Fallback>
        </mc:AlternateContent>
      </w:r>
    </w:p>
    <w:p w14:paraId="3C6A9B99" w14:textId="77777777" w:rsidR="0084179F" w:rsidRDefault="00636C03" w:rsidP="0084179F">
      <w:pPr>
        <w:pStyle w:val="BodyText"/>
      </w:pPr>
      <w:r>
        <w:t xml:space="preserve">As shown in Figure 1, Mr </w:t>
      </w:r>
      <w:r w:rsidR="0084179F">
        <w:t>X is an Executive Director and Managing Director of the Company. The following directors and senior managers report to Mr X:</w:t>
      </w:r>
    </w:p>
    <w:p w14:paraId="60E00C9B" w14:textId="77777777" w:rsidR="0084179F" w:rsidRDefault="0084179F" w:rsidP="0084179F">
      <w:pPr>
        <w:pStyle w:val="Bodytextbullet"/>
      </w:pPr>
      <w:r>
        <w:t xml:space="preserve">Dr Y, Head of Research and Development/Executive Director </w:t>
      </w:r>
      <w:r w:rsidRPr="00160AB5">
        <w:t>[</w:t>
      </w:r>
      <w:r>
        <w:rPr>
          <w:i/>
        </w:rPr>
        <w:t>insert details of key responsibilities</w:t>
      </w:r>
      <w:r w:rsidRPr="00160AB5">
        <w:t>]</w:t>
      </w:r>
    </w:p>
    <w:p w14:paraId="0E506FDA" w14:textId="77777777" w:rsidR="0084179F" w:rsidRDefault="0084179F" w:rsidP="0084179F">
      <w:pPr>
        <w:pStyle w:val="Bodytextbullet"/>
      </w:pPr>
      <w:r>
        <w:t xml:space="preserve">Ms A, Head of Product Development </w:t>
      </w:r>
      <w:r w:rsidRPr="00160AB5">
        <w:t>[</w:t>
      </w:r>
      <w:r>
        <w:rPr>
          <w:i/>
        </w:rPr>
        <w:t>insert details of key responsibilities</w:t>
      </w:r>
      <w:r w:rsidRPr="00160AB5">
        <w:t>]</w:t>
      </w:r>
    </w:p>
    <w:p w14:paraId="3EDFB3FF" w14:textId="114457D1" w:rsidR="0084179F" w:rsidRDefault="0084179F" w:rsidP="0084179F">
      <w:pPr>
        <w:pStyle w:val="Bodytextbullet"/>
      </w:pPr>
      <w:r>
        <w:t xml:space="preserve">Mr B, Head of Sales </w:t>
      </w:r>
      <w:r w:rsidRPr="00160AB5">
        <w:t>[</w:t>
      </w:r>
      <w:r>
        <w:rPr>
          <w:i/>
        </w:rPr>
        <w:t>insert details of key responsibilities</w:t>
      </w:r>
      <w:r w:rsidRPr="00160AB5">
        <w:t>]</w:t>
      </w:r>
      <w:r w:rsidR="003C6B2A">
        <w:t>.</w:t>
      </w:r>
    </w:p>
    <w:p w14:paraId="27090126" w14:textId="0F3E1342" w:rsidR="0084179F" w:rsidRPr="007728A6" w:rsidRDefault="0084179F" w:rsidP="0084179F">
      <w:pPr>
        <w:pStyle w:val="BodyText"/>
      </w:pPr>
      <w:r>
        <w:t>The Company</w:t>
      </w:r>
      <w:r w:rsidR="00C7359B">
        <w:t>’</w:t>
      </w:r>
      <w:r>
        <w:t>s contract manufacturer is Co X Ltd.</w:t>
      </w:r>
    </w:p>
    <w:p w14:paraId="1F7DDB89" w14:textId="77777777" w:rsidR="000E550A" w:rsidRDefault="000E550A" w:rsidP="00AD1C07">
      <w:pPr>
        <w:pStyle w:val="Heading3"/>
      </w:pPr>
      <w:r w:rsidRPr="007B23B2">
        <w:lastRenderedPageBreak/>
        <w:t>Legal or disciplinary actions</w:t>
      </w:r>
      <w:r w:rsidR="0042516E">
        <w:t xml:space="preserve"> against the Company</w:t>
      </w:r>
    </w:p>
    <w:p w14:paraId="3A5BCA3F" w14:textId="4184F5A1" w:rsidR="000E550A" w:rsidRDefault="000E550A" w:rsidP="0064399C">
      <w:pPr>
        <w:pStyle w:val="Templatecommentarytext"/>
      </w:pPr>
      <w:r>
        <w:t>Include d</w:t>
      </w:r>
      <w:r w:rsidRPr="00E637EA">
        <w:t>etails of</w:t>
      </w:r>
      <w:r w:rsidR="001A2117">
        <w:t>,</w:t>
      </w:r>
      <w:r w:rsidRPr="00E637EA">
        <w:t xml:space="preserve"> </w:t>
      </w:r>
      <w:r w:rsidR="00386A01">
        <w:t>and a description of the circumstances giving rise to</w:t>
      </w:r>
      <w:r w:rsidR="001A2117">
        <w:t>,</w:t>
      </w:r>
      <w:r w:rsidR="00386A01">
        <w:t xml:space="preserve"> </w:t>
      </w:r>
      <w:r w:rsidRPr="00E637EA">
        <w:t xml:space="preserve">any criminal </w:t>
      </w:r>
      <w:r w:rsidR="005D566E">
        <w:t xml:space="preserve">convictions </w:t>
      </w:r>
      <w:r w:rsidRPr="00E637EA">
        <w:t xml:space="preserve">or civil </w:t>
      </w:r>
      <w:r w:rsidR="005D566E">
        <w:t>penalties imposed</w:t>
      </w:r>
      <w:r w:rsidRPr="00E637EA">
        <w:t xml:space="preserve"> </w:t>
      </w:r>
      <w:r>
        <w:t>under the Corporations Act</w:t>
      </w:r>
      <w:r w:rsidR="00B4219B">
        <w:t xml:space="preserve"> </w:t>
      </w:r>
      <w:r>
        <w:t>again</w:t>
      </w:r>
      <w:r w:rsidRPr="00E637EA">
        <w:t>st your company</w:t>
      </w:r>
      <w:r w:rsidR="00386A01">
        <w:t>,</w:t>
      </w:r>
      <w:r w:rsidR="00C8611D">
        <w:t xml:space="preserve"> </w:t>
      </w:r>
      <w:r w:rsidR="00C8611D" w:rsidRPr="001A2117">
        <w:t>any enforceable undertakings given to ASIC by your company</w:t>
      </w:r>
      <w:r w:rsidR="00386A01">
        <w:t xml:space="preserve"> and </w:t>
      </w:r>
      <w:r w:rsidR="00386A01" w:rsidRPr="000774C1">
        <w:t xml:space="preserve">any other </w:t>
      </w:r>
      <w:r w:rsidR="00386A01">
        <w:t xml:space="preserve">convictions or penalties (under any other laws) against your </w:t>
      </w:r>
      <w:r w:rsidR="00F57C66">
        <w:t>company in the last 10 years</w:t>
      </w:r>
      <w:r w:rsidR="00C8611D">
        <w:t>.</w:t>
      </w:r>
      <w:r w:rsidR="00397ED8">
        <w:t xml:space="preserve"> </w:t>
      </w:r>
      <w:r>
        <w:t>I</w:t>
      </w:r>
      <w:r w:rsidRPr="00D934BA">
        <w:t>nclude a summary of the facts and any formal judgment (e.g. court judgment) or decision (e.g. by ASIC) in relation to the legal action</w:t>
      </w:r>
      <w:r w:rsidR="00C8611D">
        <w:t xml:space="preserve"> or </w:t>
      </w:r>
      <w:r w:rsidR="005046FE">
        <w:t xml:space="preserve">court </w:t>
      </w:r>
      <w:r w:rsidR="00C8611D">
        <w:t>enforceable undertaking</w:t>
      </w:r>
      <w:r w:rsidRPr="00D934BA">
        <w:t>.</w:t>
      </w:r>
      <w:bookmarkStart w:id="22" w:name="_Toc483820602"/>
      <w:bookmarkStart w:id="23" w:name="_Toc484073830"/>
      <w:bookmarkEnd w:id="22"/>
      <w:bookmarkEnd w:id="23"/>
    </w:p>
    <w:p w14:paraId="6E6AA48E" w14:textId="77777777" w:rsidR="000E550A" w:rsidRDefault="000E550A">
      <w:pPr>
        <w:pStyle w:val="Heading2"/>
      </w:pPr>
      <w:bookmarkStart w:id="24" w:name="_Toc526771231"/>
      <w:r w:rsidRPr="00B54966">
        <w:t xml:space="preserve">Capital </w:t>
      </w:r>
      <w:r w:rsidR="00AD5CF1" w:rsidRPr="00B54966">
        <w:t>s</w:t>
      </w:r>
      <w:r w:rsidRPr="00B54966">
        <w:t>tructure</w:t>
      </w:r>
      <w:bookmarkEnd w:id="24"/>
    </w:p>
    <w:p w14:paraId="0C37DB58" w14:textId="45CBB673" w:rsidR="000E550A" w:rsidRDefault="00B4219B" w:rsidP="00AB0DD0">
      <w:pPr>
        <w:pStyle w:val="Templatecommentarytext"/>
      </w:pPr>
      <w:r>
        <w:t>I</w:t>
      </w:r>
      <w:r w:rsidR="00397ED8">
        <w:t>n</w:t>
      </w:r>
      <w:r w:rsidR="000E550A">
        <w:t>clude d</w:t>
      </w:r>
      <w:r w:rsidR="000E550A" w:rsidRPr="00E637EA">
        <w:t xml:space="preserve">etails </w:t>
      </w:r>
      <w:r w:rsidR="000E550A" w:rsidRPr="004F5279">
        <w:t>of your company</w:t>
      </w:r>
      <w:r w:rsidR="00C7359B">
        <w:t>’</w:t>
      </w:r>
      <w:r w:rsidR="000E550A" w:rsidRPr="004F5279">
        <w:t>s debt and equity capital structure, including all classes of issued shares</w:t>
      </w:r>
      <w:r w:rsidR="00397ED8">
        <w:t xml:space="preserve">, options and other securities (e.g. convertible </w:t>
      </w:r>
      <w:r w:rsidR="00A41134">
        <w:t>securities</w:t>
      </w:r>
      <w:r w:rsidR="00397ED8">
        <w:t>)</w:t>
      </w:r>
      <w:r w:rsidR="001A2117">
        <w:t>,</w:t>
      </w:r>
      <w:r>
        <w:t xml:space="preserve"> if any</w:t>
      </w:r>
      <w:r w:rsidR="00A41134">
        <w:t>.</w:t>
      </w:r>
      <w:r w:rsidR="002144FC">
        <w:t xml:space="preserve"> </w:t>
      </w:r>
      <w:r w:rsidR="000E550A" w:rsidRPr="004A7350">
        <w:t xml:space="preserve">See Table </w:t>
      </w:r>
      <w:r w:rsidR="000E550A" w:rsidRPr="00521219">
        <w:t>1</w:t>
      </w:r>
      <w:r w:rsidR="00B124B7" w:rsidRPr="00521219">
        <w:t>5</w:t>
      </w:r>
      <w:r w:rsidR="000E550A" w:rsidRPr="00521219">
        <w:t xml:space="preserve"> in </w:t>
      </w:r>
      <w:hyperlink r:id="rId23" w:history="1">
        <w:r w:rsidR="000E550A" w:rsidRPr="00FD143B">
          <w:rPr>
            <w:rStyle w:val="Hyperlink"/>
          </w:rPr>
          <w:t xml:space="preserve">RG </w:t>
        </w:r>
        <w:r w:rsidR="001013EB" w:rsidRPr="00FD143B">
          <w:rPr>
            <w:rStyle w:val="Hyperlink"/>
          </w:rPr>
          <w:t>261</w:t>
        </w:r>
      </w:hyperlink>
      <w:r w:rsidR="000E550A" w:rsidRPr="00521219">
        <w:t xml:space="preserve"> for</w:t>
      </w:r>
      <w:r w:rsidR="000E550A" w:rsidRPr="004A7350">
        <w:t xml:space="preserve"> further</w:t>
      </w:r>
      <w:r w:rsidR="000E550A">
        <w:t xml:space="preserve"> guidance.</w:t>
      </w:r>
      <w:r w:rsidR="00397ED8">
        <w:t xml:space="preserve"> </w:t>
      </w:r>
      <w:r w:rsidR="00397ED8" w:rsidRPr="00EE434A">
        <w:t>An illustrative example i</w:t>
      </w:r>
      <w:r w:rsidR="00397ED8">
        <w:t>s provided below.</w:t>
      </w:r>
    </w:p>
    <w:p w14:paraId="55E666E8" w14:textId="77777777" w:rsidR="000E550A" w:rsidRDefault="000E550A" w:rsidP="00AD1C07">
      <w:pPr>
        <w:pStyle w:val="Heading3"/>
      </w:pPr>
      <w:r>
        <w:t xml:space="preserve">Issued </w:t>
      </w:r>
      <w:r w:rsidR="00AD5CF1">
        <w:t>c</w:t>
      </w:r>
      <w:r>
        <w:t>apital</w:t>
      </w:r>
    </w:p>
    <w:p w14:paraId="30F4DF39" w14:textId="699F7923" w:rsidR="000E550A" w:rsidRDefault="000E550A" w:rsidP="00CF3399">
      <w:pPr>
        <w:pStyle w:val="BodyText"/>
      </w:pPr>
      <w:r w:rsidRPr="00430433">
        <w:t xml:space="preserve">As at the date of this </w:t>
      </w:r>
      <w:r w:rsidR="001450BD">
        <w:t xml:space="preserve">CSF </w:t>
      </w:r>
      <w:r w:rsidR="00AD5CF1">
        <w:t>offer document</w:t>
      </w:r>
      <w:r w:rsidRPr="00430433">
        <w:t xml:space="preserve">, the Company has </w:t>
      </w:r>
      <w:r w:rsidR="00E05706">
        <w:t>2</w:t>
      </w:r>
      <w:r>
        <w:t>,</w:t>
      </w:r>
      <w:r w:rsidR="00E05706">
        <w:t>5</w:t>
      </w:r>
      <w:r>
        <w:t>00,000</w:t>
      </w:r>
      <w:r w:rsidRPr="00430433">
        <w:t xml:space="preserve"> </w:t>
      </w:r>
      <w:r w:rsidR="00913B1F">
        <w:t xml:space="preserve">Class A and </w:t>
      </w:r>
      <w:r w:rsidR="00E05706">
        <w:t>2,500,000</w:t>
      </w:r>
      <w:r w:rsidR="00E05706" w:rsidRPr="00430433">
        <w:t xml:space="preserve"> </w:t>
      </w:r>
      <w:r w:rsidR="00913B1F">
        <w:t>Class B s</w:t>
      </w:r>
      <w:r w:rsidRPr="00430433">
        <w:t>hares</w:t>
      </w:r>
      <w:r w:rsidR="00FD143B">
        <w:t>,</w:t>
      </w:r>
      <w:r w:rsidRPr="00430433">
        <w:t xml:space="preserve"> </w:t>
      </w:r>
      <w:r>
        <w:t>and</w:t>
      </w:r>
      <w:r w:rsidR="00913B1F">
        <w:t xml:space="preserve"> 500</w:t>
      </w:r>
      <w:r w:rsidRPr="00430433">
        <w:t xml:space="preserve"> options on issue. </w:t>
      </w:r>
      <w:r w:rsidR="00FE1CE5">
        <w:t>As set out in Table 1 below, t</w:t>
      </w:r>
      <w:r w:rsidRPr="00430433">
        <w:t xml:space="preserve">he </w:t>
      </w:r>
      <w:r>
        <w:t>5,000,000</w:t>
      </w:r>
      <w:r w:rsidRPr="00430433">
        <w:t xml:space="preserve"> </w:t>
      </w:r>
      <w:r w:rsidR="00913B1F">
        <w:t>s</w:t>
      </w:r>
      <w:r w:rsidRPr="00430433">
        <w:t>hares are held by</w:t>
      </w:r>
      <w:r w:rsidR="00101BA2">
        <w:t xml:space="preserve"> two of</w:t>
      </w:r>
      <w:r w:rsidRPr="00430433">
        <w:t xml:space="preserve"> </w:t>
      </w:r>
      <w:r>
        <w:t>the Company</w:t>
      </w:r>
      <w:r w:rsidR="00C7359B">
        <w:t>’</w:t>
      </w:r>
      <w:r>
        <w:t>s Executive Directors, Mr X (Managing Director) and Dr Y (Executive Director)</w:t>
      </w:r>
      <w:r w:rsidR="00913B1F">
        <w:t>, and Mr X also has 500 options</w:t>
      </w:r>
      <w:r w:rsidR="00067C6B">
        <w:t>.</w:t>
      </w:r>
    </w:p>
    <w:p w14:paraId="3D24489A" w14:textId="77777777" w:rsidR="005811CA" w:rsidRPr="006B2552" w:rsidRDefault="005811CA" w:rsidP="001D12B1">
      <w:pPr>
        <w:pStyle w:val="Tablefiguretitle"/>
      </w:pPr>
      <w:r w:rsidRPr="006B2552">
        <w:t>Table 1: Issued capital of the Company before the Offer</w:t>
      </w:r>
    </w:p>
    <w:tbl>
      <w:tblPr>
        <w:tblW w:w="914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43"/>
        <w:gridCol w:w="2693"/>
        <w:gridCol w:w="2410"/>
        <w:gridCol w:w="2200"/>
      </w:tblGrid>
      <w:tr w:rsidR="00470107" w14:paraId="4B3EE6D9" w14:textId="77777777" w:rsidTr="00FF46CD">
        <w:trPr>
          <w:cantSplit/>
          <w:trHeight w:val="499"/>
          <w:tblHeader/>
        </w:trPr>
        <w:tc>
          <w:tcPr>
            <w:tcW w:w="1843" w:type="dxa"/>
            <w:shd w:val="clear" w:color="auto" w:fill="DBE5F1"/>
          </w:tcPr>
          <w:p w14:paraId="340223F2" w14:textId="77777777" w:rsidR="00913B1F" w:rsidRPr="00AF2E61" w:rsidRDefault="00913B1F" w:rsidP="00435664">
            <w:pPr>
              <w:spacing w:before="120" w:after="120"/>
              <w:rPr>
                <w:rFonts w:ascii="Arial" w:hAnsi="Arial"/>
                <w:b/>
                <w:color w:val="000000"/>
                <w:szCs w:val="22"/>
              </w:rPr>
            </w:pPr>
            <w:bookmarkStart w:id="25" w:name="ColumnTitle_Table1" w:colFirst="0" w:colLast="2"/>
            <w:r w:rsidRPr="00AF2E61">
              <w:rPr>
                <w:rFonts w:ascii="Arial" w:hAnsi="Arial"/>
                <w:b/>
                <w:color w:val="000000"/>
                <w:szCs w:val="22"/>
              </w:rPr>
              <w:t>Shareholder</w:t>
            </w:r>
          </w:p>
        </w:tc>
        <w:tc>
          <w:tcPr>
            <w:tcW w:w="2693" w:type="dxa"/>
            <w:shd w:val="clear" w:color="auto" w:fill="DBE5F1"/>
            <w:vAlign w:val="center"/>
          </w:tcPr>
          <w:p w14:paraId="37A59058" w14:textId="4E48852E" w:rsidR="00913B1F" w:rsidRPr="00AF2E61" w:rsidRDefault="00913B1F" w:rsidP="00FE1CE5">
            <w:pPr>
              <w:spacing w:before="120" w:after="120"/>
              <w:jc w:val="center"/>
              <w:rPr>
                <w:rFonts w:ascii="Arial" w:hAnsi="Arial"/>
                <w:b/>
                <w:color w:val="000000"/>
                <w:szCs w:val="22"/>
              </w:rPr>
            </w:pPr>
            <w:r>
              <w:rPr>
                <w:rFonts w:ascii="Arial" w:hAnsi="Arial"/>
                <w:b/>
                <w:color w:val="000000"/>
                <w:szCs w:val="22"/>
              </w:rPr>
              <w:t>Share Type</w:t>
            </w:r>
          </w:p>
        </w:tc>
        <w:tc>
          <w:tcPr>
            <w:tcW w:w="2410" w:type="dxa"/>
            <w:shd w:val="clear" w:color="auto" w:fill="DBE5F1"/>
            <w:vAlign w:val="center"/>
          </w:tcPr>
          <w:p w14:paraId="5129D940" w14:textId="250B2560" w:rsidR="00913B1F" w:rsidRPr="00AF2E61" w:rsidRDefault="00913B1F" w:rsidP="00FE1CE5">
            <w:pPr>
              <w:spacing w:before="120" w:after="120"/>
              <w:jc w:val="center"/>
              <w:rPr>
                <w:rFonts w:ascii="Arial" w:hAnsi="Arial"/>
                <w:b/>
                <w:color w:val="000000"/>
                <w:szCs w:val="22"/>
              </w:rPr>
            </w:pPr>
            <w:r w:rsidRPr="00AF2E61">
              <w:rPr>
                <w:rFonts w:ascii="Arial" w:hAnsi="Arial"/>
                <w:b/>
                <w:color w:val="000000"/>
                <w:szCs w:val="22"/>
              </w:rPr>
              <w:t>Shares</w:t>
            </w:r>
          </w:p>
        </w:tc>
        <w:tc>
          <w:tcPr>
            <w:tcW w:w="2200" w:type="dxa"/>
            <w:shd w:val="clear" w:color="auto" w:fill="DBE5F1"/>
            <w:vAlign w:val="center"/>
          </w:tcPr>
          <w:p w14:paraId="4D803A06" w14:textId="77777777" w:rsidR="00913B1F" w:rsidRPr="00AF2E61" w:rsidRDefault="00913B1F" w:rsidP="00FE1CE5">
            <w:pPr>
              <w:spacing w:before="120" w:after="120"/>
              <w:jc w:val="center"/>
              <w:rPr>
                <w:rFonts w:ascii="Arial" w:hAnsi="Arial"/>
                <w:b/>
                <w:color w:val="000000"/>
                <w:szCs w:val="22"/>
              </w:rPr>
            </w:pPr>
            <w:r w:rsidRPr="00AF2E61">
              <w:rPr>
                <w:rFonts w:ascii="Arial" w:hAnsi="Arial"/>
                <w:b/>
                <w:color w:val="000000"/>
                <w:szCs w:val="22"/>
              </w:rPr>
              <w:t>Options</w:t>
            </w:r>
          </w:p>
        </w:tc>
      </w:tr>
      <w:bookmarkEnd w:id="25"/>
      <w:tr w:rsidR="00913B1F" w14:paraId="42E7A85C" w14:textId="77777777" w:rsidTr="00FF46CD">
        <w:trPr>
          <w:cantSplit/>
          <w:trHeight w:val="486"/>
        </w:trPr>
        <w:tc>
          <w:tcPr>
            <w:tcW w:w="1843" w:type="dxa"/>
          </w:tcPr>
          <w:p w14:paraId="472AF789" w14:textId="77777777" w:rsidR="00913B1F" w:rsidRPr="00AF2E61" w:rsidRDefault="00913B1F" w:rsidP="00435664">
            <w:pPr>
              <w:spacing w:before="120" w:after="0"/>
              <w:rPr>
                <w:rFonts w:ascii="Arial" w:hAnsi="Arial"/>
                <w:color w:val="000000"/>
                <w:szCs w:val="22"/>
              </w:rPr>
            </w:pPr>
            <w:r w:rsidRPr="00AF2E61">
              <w:rPr>
                <w:rFonts w:ascii="Arial" w:hAnsi="Arial"/>
                <w:color w:val="000000"/>
                <w:szCs w:val="22"/>
              </w:rPr>
              <w:t>Mr X</w:t>
            </w:r>
          </w:p>
        </w:tc>
        <w:tc>
          <w:tcPr>
            <w:tcW w:w="2693" w:type="dxa"/>
            <w:vAlign w:val="center"/>
          </w:tcPr>
          <w:p w14:paraId="2AE0E76B" w14:textId="5EF49908" w:rsidR="00913B1F" w:rsidRPr="00AF2E61" w:rsidRDefault="00913B1F" w:rsidP="00B13F91">
            <w:pPr>
              <w:spacing w:before="120" w:after="0"/>
              <w:jc w:val="center"/>
              <w:rPr>
                <w:rFonts w:ascii="Arial" w:hAnsi="Arial"/>
                <w:color w:val="000000"/>
                <w:szCs w:val="22"/>
              </w:rPr>
            </w:pPr>
            <w:r>
              <w:rPr>
                <w:rFonts w:ascii="Arial" w:hAnsi="Arial"/>
                <w:color w:val="000000"/>
                <w:szCs w:val="22"/>
              </w:rPr>
              <w:t>Class A</w:t>
            </w:r>
          </w:p>
        </w:tc>
        <w:tc>
          <w:tcPr>
            <w:tcW w:w="2410" w:type="dxa"/>
            <w:vAlign w:val="center"/>
          </w:tcPr>
          <w:p w14:paraId="56672167" w14:textId="659F49D9"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2,500,000</w:t>
            </w:r>
          </w:p>
        </w:tc>
        <w:tc>
          <w:tcPr>
            <w:tcW w:w="2200" w:type="dxa"/>
            <w:vAlign w:val="center"/>
          </w:tcPr>
          <w:p w14:paraId="4D795611" w14:textId="35E89C50" w:rsidR="00913B1F" w:rsidRPr="00AF2E61" w:rsidRDefault="00913B1F" w:rsidP="00FE1CE5">
            <w:pPr>
              <w:spacing w:before="120" w:after="0"/>
              <w:jc w:val="center"/>
              <w:rPr>
                <w:rFonts w:ascii="Arial" w:hAnsi="Arial"/>
                <w:color w:val="000000"/>
                <w:szCs w:val="22"/>
              </w:rPr>
            </w:pPr>
            <w:r>
              <w:rPr>
                <w:rFonts w:ascii="Arial" w:hAnsi="Arial"/>
                <w:color w:val="000000"/>
                <w:szCs w:val="22"/>
              </w:rPr>
              <w:t>500</w:t>
            </w:r>
          </w:p>
        </w:tc>
      </w:tr>
      <w:tr w:rsidR="00913B1F" w14:paraId="555F9D5D" w14:textId="77777777" w:rsidTr="00FF46CD">
        <w:trPr>
          <w:cantSplit/>
          <w:trHeight w:val="499"/>
        </w:trPr>
        <w:tc>
          <w:tcPr>
            <w:tcW w:w="1843" w:type="dxa"/>
          </w:tcPr>
          <w:p w14:paraId="4C32B7A0" w14:textId="77777777" w:rsidR="00913B1F" w:rsidRPr="00AF2E61" w:rsidRDefault="00913B1F" w:rsidP="00435664">
            <w:pPr>
              <w:spacing w:before="120" w:after="0"/>
              <w:rPr>
                <w:rFonts w:ascii="Arial" w:hAnsi="Arial"/>
                <w:color w:val="000000"/>
                <w:szCs w:val="22"/>
              </w:rPr>
            </w:pPr>
            <w:r w:rsidRPr="00AF2E61">
              <w:rPr>
                <w:rFonts w:ascii="Arial" w:hAnsi="Arial"/>
                <w:color w:val="000000"/>
                <w:szCs w:val="22"/>
              </w:rPr>
              <w:t>Dr Y</w:t>
            </w:r>
          </w:p>
        </w:tc>
        <w:tc>
          <w:tcPr>
            <w:tcW w:w="2693" w:type="dxa"/>
            <w:vAlign w:val="center"/>
          </w:tcPr>
          <w:p w14:paraId="4B91F974" w14:textId="21098A7F" w:rsidR="00913B1F" w:rsidRPr="00AF2E61" w:rsidRDefault="00913B1F" w:rsidP="00B13F91">
            <w:pPr>
              <w:spacing w:before="120" w:after="0"/>
              <w:jc w:val="center"/>
              <w:rPr>
                <w:rFonts w:ascii="Arial" w:hAnsi="Arial"/>
                <w:color w:val="000000"/>
                <w:szCs w:val="22"/>
              </w:rPr>
            </w:pPr>
            <w:r>
              <w:rPr>
                <w:rFonts w:ascii="Arial" w:hAnsi="Arial"/>
                <w:color w:val="000000"/>
                <w:szCs w:val="22"/>
              </w:rPr>
              <w:t>Class B</w:t>
            </w:r>
          </w:p>
        </w:tc>
        <w:tc>
          <w:tcPr>
            <w:tcW w:w="2410" w:type="dxa"/>
            <w:vAlign w:val="center"/>
          </w:tcPr>
          <w:p w14:paraId="50BB45AC" w14:textId="111AC8B1"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2,500,000</w:t>
            </w:r>
          </w:p>
        </w:tc>
        <w:tc>
          <w:tcPr>
            <w:tcW w:w="2200" w:type="dxa"/>
            <w:vAlign w:val="center"/>
          </w:tcPr>
          <w:p w14:paraId="3B6CBB70" w14:textId="77777777"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Nil</w:t>
            </w:r>
          </w:p>
        </w:tc>
      </w:tr>
      <w:tr w:rsidR="00913B1F" w14:paraId="7A8C5B36" w14:textId="77777777" w:rsidTr="00FF46CD">
        <w:trPr>
          <w:cantSplit/>
          <w:trHeight w:val="499"/>
        </w:trPr>
        <w:tc>
          <w:tcPr>
            <w:tcW w:w="1843" w:type="dxa"/>
          </w:tcPr>
          <w:p w14:paraId="5024E548" w14:textId="77777777" w:rsidR="00913B1F" w:rsidRPr="00AF2E61" w:rsidRDefault="00913B1F" w:rsidP="00435664">
            <w:pPr>
              <w:spacing w:before="120" w:after="0"/>
              <w:rPr>
                <w:rFonts w:ascii="Arial" w:hAnsi="Arial"/>
                <w:b/>
                <w:color w:val="000000"/>
                <w:szCs w:val="22"/>
              </w:rPr>
            </w:pPr>
            <w:r w:rsidRPr="00AF2E61">
              <w:rPr>
                <w:rFonts w:ascii="Arial" w:hAnsi="Arial"/>
                <w:b/>
                <w:color w:val="000000"/>
                <w:szCs w:val="22"/>
              </w:rPr>
              <w:t>Total</w:t>
            </w:r>
          </w:p>
        </w:tc>
        <w:tc>
          <w:tcPr>
            <w:tcW w:w="2693" w:type="dxa"/>
            <w:vAlign w:val="center"/>
          </w:tcPr>
          <w:p w14:paraId="54727292" w14:textId="5AAFDFC6" w:rsidR="00913B1F" w:rsidRPr="00AF2E61" w:rsidRDefault="00435664" w:rsidP="00FE1CE5">
            <w:pPr>
              <w:spacing w:before="120" w:after="0"/>
              <w:jc w:val="center"/>
              <w:rPr>
                <w:rFonts w:ascii="Arial" w:hAnsi="Arial"/>
                <w:b/>
                <w:color w:val="000000"/>
                <w:szCs w:val="22"/>
              </w:rPr>
            </w:pPr>
            <w:r>
              <w:rPr>
                <w:rFonts w:ascii="Arial" w:hAnsi="Arial"/>
                <w:b/>
                <w:color w:val="000000"/>
                <w:szCs w:val="22"/>
              </w:rPr>
              <w:t>N/A</w:t>
            </w:r>
          </w:p>
        </w:tc>
        <w:tc>
          <w:tcPr>
            <w:tcW w:w="2410" w:type="dxa"/>
            <w:vAlign w:val="center"/>
          </w:tcPr>
          <w:p w14:paraId="327CD599" w14:textId="3A1BB819" w:rsidR="00913B1F" w:rsidRPr="00AF2E61" w:rsidRDefault="00913B1F" w:rsidP="00FE1CE5">
            <w:pPr>
              <w:spacing w:before="120" w:after="0"/>
              <w:jc w:val="center"/>
              <w:rPr>
                <w:rFonts w:ascii="Arial" w:hAnsi="Arial"/>
                <w:b/>
                <w:color w:val="000000"/>
                <w:szCs w:val="22"/>
              </w:rPr>
            </w:pPr>
            <w:r w:rsidRPr="00AF2E61">
              <w:rPr>
                <w:rFonts w:ascii="Arial" w:hAnsi="Arial"/>
                <w:b/>
                <w:color w:val="000000"/>
                <w:szCs w:val="22"/>
              </w:rPr>
              <w:t>5,000,000</w:t>
            </w:r>
          </w:p>
        </w:tc>
        <w:tc>
          <w:tcPr>
            <w:tcW w:w="2200" w:type="dxa"/>
            <w:vAlign w:val="center"/>
          </w:tcPr>
          <w:p w14:paraId="7A1B0B45" w14:textId="30056738" w:rsidR="00913B1F" w:rsidRPr="00AF2E61" w:rsidRDefault="00435664" w:rsidP="00435664">
            <w:pPr>
              <w:spacing w:before="120" w:after="0"/>
              <w:jc w:val="center"/>
              <w:rPr>
                <w:rFonts w:ascii="Arial" w:hAnsi="Arial"/>
                <w:b/>
                <w:color w:val="000000"/>
                <w:szCs w:val="22"/>
              </w:rPr>
            </w:pPr>
            <w:r>
              <w:rPr>
                <w:rFonts w:ascii="Arial" w:hAnsi="Arial"/>
                <w:b/>
                <w:color w:val="000000"/>
                <w:szCs w:val="22"/>
              </w:rPr>
              <w:t>500</w:t>
            </w:r>
          </w:p>
        </w:tc>
      </w:tr>
    </w:tbl>
    <w:p w14:paraId="75941E46" w14:textId="5901BC56" w:rsidR="000E550A" w:rsidRDefault="00067C6B" w:rsidP="00CF3399">
      <w:pPr>
        <w:pStyle w:val="BodyText"/>
      </w:pPr>
      <w:r>
        <w:t>T</w:t>
      </w:r>
      <w:r w:rsidR="000E550A">
        <w:t xml:space="preserve">able </w:t>
      </w:r>
      <w:r>
        <w:t xml:space="preserve">2 </w:t>
      </w:r>
      <w:r w:rsidR="000E550A">
        <w:t>sets out the issued capital of the Company following the Offer</w:t>
      </w:r>
      <w:r w:rsidR="002144FC">
        <w:t>.</w:t>
      </w:r>
    </w:p>
    <w:p w14:paraId="4E5A66C7" w14:textId="77777777" w:rsidR="005811CA" w:rsidRPr="006B2552" w:rsidRDefault="005811CA" w:rsidP="00045756">
      <w:pPr>
        <w:pStyle w:val="Tablefiguretitle"/>
        <w:keepNext w:val="0"/>
      </w:pPr>
      <w:r w:rsidRPr="006B2552">
        <w:t>Table 2: Issued capital of the Company following the Offer</w:t>
      </w:r>
    </w:p>
    <w:tbl>
      <w:tblPr>
        <w:tblW w:w="921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828"/>
        <w:gridCol w:w="2693"/>
        <w:gridCol w:w="2693"/>
      </w:tblGrid>
      <w:tr w:rsidR="009F4373" w:rsidRPr="00AF29BC" w14:paraId="052579A9" w14:textId="77777777" w:rsidTr="00FF46CD">
        <w:trPr>
          <w:cantSplit/>
          <w:tblHeader/>
        </w:trPr>
        <w:tc>
          <w:tcPr>
            <w:tcW w:w="3828" w:type="dxa"/>
            <w:shd w:val="clear" w:color="auto" w:fill="DBE5F1"/>
          </w:tcPr>
          <w:p w14:paraId="7D25CA2A" w14:textId="77777777" w:rsidR="000E550A" w:rsidRPr="00AF2E61" w:rsidRDefault="00960BDE" w:rsidP="00A41134">
            <w:pPr>
              <w:spacing w:before="120" w:after="0"/>
              <w:rPr>
                <w:rFonts w:ascii="Arial" w:hAnsi="Arial" w:cs="Arial"/>
                <w:b/>
                <w:color w:val="000000"/>
                <w:szCs w:val="22"/>
              </w:rPr>
            </w:pPr>
            <w:bookmarkStart w:id="26" w:name="ColumnTitle_Table2" w:colFirst="0" w:colLast="2"/>
            <w:r w:rsidRPr="00AF2E61">
              <w:rPr>
                <w:rFonts w:ascii="Arial" w:hAnsi="Arial" w:cs="Arial"/>
                <w:b/>
                <w:color w:val="000000"/>
                <w:szCs w:val="22"/>
              </w:rPr>
              <w:t>Shares</w:t>
            </w:r>
          </w:p>
        </w:tc>
        <w:tc>
          <w:tcPr>
            <w:tcW w:w="2693" w:type="dxa"/>
            <w:shd w:val="clear" w:color="auto" w:fill="DBE5F1"/>
          </w:tcPr>
          <w:p w14:paraId="2DC9A059" w14:textId="77777777" w:rsidR="000E550A" w:rsidRPr="00AF2E61" w:rsidRDefault="000E550A" w:rsidP="00A41134">
            <w:pPr>
              <w:spacing w:before="120" w:after="0"/>
              <w:jc w:val="right"/>
              <w:rPr>
                <w:rFonts w:ascii="Arial" w:hAnsi="Arial" w:cs="Arial"/>
                <w:b/>
                <w:color w:val="000000"/>
                <w:szCs w:val="22"/>
              </w:rPr>
            </w:pPr>
            <w:r w:rsidRPr="00AF2E61">
              <w:rPr>
                <w:rFonts w:ascii="Arial" w:hAnsi="Arial" w:cs="Arial"/>
                <w:b/>
                <w:color w:val="000000"/>
                <w:szCs w:val="22"/>
              </w:rPr>
              <w:t>Minimum Subscription</w:t>
            </w:r>
          </w:p>
        </w:tc>
        <w:tc>
          <w:tcPr>
            <w:tcW w:w="2693" w:type="dxa"/>
            <w:shd w:val="clear" w:color="auto" w:fill="DBE5F1"/>
          </w:tcPr>
          <w:p w14:paraId="2B19502C" w14:textId="77777777" w:rsidR="000E550A" w:rsidRPr="00AF2E61" w:rsidRDefault="000E550A" w:rsidP="00A41134">
            <w:pPr>
              <w:spacing w:before="120" w:after="0"/>
              <w:jc w:val="right"/>
              <w:rPr>
                <w:rFonts w:ascii="Arial" w:hAnsi="Arial" w:cs="Arial"/>
                <w:b/>
                <w:color w:val="000000"/>
                <w:szCs w:val="22"/>
              </w:rPr>
            </w:pPr>
            <w:r w:rsidRPr="00AF2E61">
              <w:rPr>
                <w:rFonts w:ascii="Arial" w:hAnsi="Arial" w:cs="Arial"/>
                <w:b/>
                <w:color w:val="000000"/>
                <w:szCs w:val="22"/>
              </w:rPr>
              <w:t>Maximum Subscription</w:t>
            </w:r>
          </w:p>
        </w:tc>
      </w:tr>
      <w:bookmarkEnd w:id="26"/>
      <w:tr w:rsidR="000E550A" w14:paraId="54C15504" w14:textId="77777777" w:rsidTr="00FF46CD">
        <w:trPr>
          <w:cantSplit/>
        </w:trPr>
        <w:tc>
          <w:tcPr>
            <w:tcW w:w="3828" w:type="dxa"/>
          </w:tcPr>
          <w:p w14:paraId="09B8FB6D" w14:textId="4F4AB6D6" w:rsidR="000E550A" w:rsidRPr="00AF2E61" w:rsidRDefault="000E550A" w:rsidP="00A41134">
            <w:pPr>
              <w:spacing w:before="120" w:after="0"/>
              <w:rPr>
                <w:rFonts w:ascii="Arial" w:hAnsi="Arial" w:cs="Arial"/>
                <w:b/>
                <w:color w:val="000000"/>
                <w:szCs w:val="22"/>
              </w:rPr>
            </w:pPr>
            <w:r w:rsidRPr="00AF2E61">
              <w:rPr>
                <w:rFonts w:ascii="Arial" w:hAnsi="Arial" w:cs="Arial"/>
                <w:b/>
                <w:color w:val="000000"/>
                <w:szCs w:val="22"/>
              </w:rPr>
              <w:t xml:space="preserve">Director </w:t>
            </w:r>
            <w:r w:rsidR="000E0F27">
              <w:rPr>
                <w:rFonts w:ascii="Arial" w:hAnsi="Arial" w:cs="Arial"/>
                <w:b/>
                <w:color w:val="000000"/>
                <w:szCs w:val="22"/>
              </w:rPr>
              <w:t>s</w:t>
            </w:r>
            <w:r w:rsidRPr="00AF2E61">
              <w:rPr>
                <w:rFonts w:ascii="Arial" w:hAnsi="Arial" w:cs="Arial"/>
                <w:b/>
                <w:color w:val="000000"/>
                <w:szCs w:val="22"/>
              </w:rPr>
              <w:t xml:space="preserve">hares (Mr X </w:t>
            </w:r>
            <w:r w:rsidR="00960BDE" w:rsidRPr="00AF2E61">
              <w:rPr>
                <w:rFonts w:ascii="Arial" w:hAnsi="Arial" w:cs="Arial"/>
                <w:b/>
                <w:color w:val="000000"/>
                <w:szCs w:val="22"/>
              </w:rPr>
              <w:t>and</w:t>
            </w:r>
            <w:r w:rsidRPr="00AF2E61">
              <w:rPr>
                <w:rFonts w:ascii="Arial" w:hAnsi="Arial" w:cs="Arial"/>
                <w:b/>
                <w:color w:val="000000"/>
                <w:szCs w:val="22"/>
              </w:rPr>
              <w:t xml:space="preserve"> Dr Y)</w:t>
            </w:r>
          </w:p>
        </w:tc>
        <w:tc>
          <w:tcPr>
            <w:tcW w:w="2693" w:type="dxa"/>
            <w:vAlign w:val="bottom"/>
          </w:tcPr>
          <w:p w14:paraId="18922C76"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5,000,000</w:t>
            </w:r>
          </w:p>
          <w:p w14:paraId="3AC0769F" w14:textId="5A559C72"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91</w:t>
            </w:r>
            <w:r w:rsidRPr="00AF2E61">
              <w:rPr>
                <w:rFonts w:ascii="Arial" w:hAnsi="Arial" w:cs="Arial"/>
                <w:color w:val="000000"/>
                <w:szCs w:val="22"/>
              </w:rPr>
              <w:t>%)</w:t>
            </w:r>
          </w:p>
        </w:tc>
        <w:tc>
          <w:tcPr>
            <w:tcW w:w="2693" w:type="dxa"/>
          </w:tcPr>
          <w:p w14:paraId="04937DBE"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5,000,000</w:t>
            </w:r>
          </w:p>
          <w:p w14:paraId="294B9C8B" w14:textId="215F97BC"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83</w:t>
            </w:r>
            <w:r w:rsidRPr="00AF2E61">
              <w:rPr>
                <w:rFonts w:ascii="Arial" w:hAnsi="Arial" w:cs="Arial"/>
                <w:color w:val="000000"/>
                <w:szCs w:val="22"/>
              </w:rPr>
              <w:t>%)</w:t>
            </w:r>
          </w:p>
        </w:tc>
      </w:tr>
      <w:tr w:rsidR="000E550A" w14:paraId="60076FAD" w14:textId="77777777" w:rsidTr="00FF46CD">
        <w:trPr>
          <w:cantSplit/>
        </w:trPr>
        <w:tc>
          <w:tcPr>
            <w:tcW w:w="3828" w:type="dxa"/>
          </w:tcPr>
          <w:p w14:paraId="17E75019" w14:textId="6B4CC45C" w:rsidR="000E550A" w:rsidRPr="00AF2E61" w:rsidRDefault="000E550A" w:rsidP="00B12384">
            <w:pPr>
              <w:spacing w:before="120" w:after="0"/>
              <w:rPr>
                <w:rFonts w:ascii="Arial" w:hAnsi="Arial" w:cs="Arial"/>
                <w:b/>
                <w:color w:val="000000"/>
                <w:szCs w:val="22"/>
              </w:rPr>
            </w:pPr>
            <w:r w:rsidRPr="00AF2E61">
              <w:rPr>
                <w:rFonts w:ascii="Arial" w:hAnsi="Arial" w:cs="Arial"/>
                <w:b/>
                <w:color w:val="000000"/>
                <w:szCs w:val="22"/>
              </w:rPr>
              <w:t xml:space="preserve">Offer </w:t>
            </w:r>
            <w:r w:rsidR="00B12384">
              <w:rPr>
                <w:rFonts w:ascii="Arial" w:hAnsi="Arial" w:cs="Arial"/>
                <w:b/>
                <w:color w:val="000000"/>
                <w:szCs w:val="22"/>
              </w:rPr>
              <w:t>s</w:t>
            </w:r>
            <w:r w:rsidRPr="00AF2E61">
              <w:rPr>
                <w:rFonts w:ascii="Arial" w:hAnsi="Arial" w:cs="Arial"/>
                <w:b/>
                <w:color w:val="000000"/>
                <w:szCs w:val="22"/>
              </w:rPr>
              <w:t>hares</w:t>
            </w:r>
          </w:p>
        </w:tc>
        <w:tc>
          <w:tcPr>
            <w:tcW w:w="2693" w:type="dxa"/>
            <w:vAlign w:val="bottom"/>
          </w:tcPr>
          <w:p w14:paraId="1FF89A2A" w14:textId="77777777"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5</w:t>
            </w:r>
            <w:r w:rsidR="000E550A" w:rsidRPr="00AF2E61">
              <w:rPr>
                <w:rFonts w:ascii="Arial" w:hAnsi="Arial" w:cs="Arial"/>
                <w:color w:val="000000"/>
                <w:szCs w:val="22"/>
              </w:rPr>
              <w:t>00,000</w:t>
            </w:r>
          </w:p>
          <w:p w14:paraId="1F3EF0E3" w14:textId="7B15FF0B"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9</w:t>
            </w:r>
            <w:r w:rsidRPr="00AF2E61">
              <w:rPr>
                <w:rFonts w:ascii="Arial" w:hAnsi="Arial" w:cs="Arial"/>
                <w:color w:val="000000"/>
                <w:szCs w:val="22"/>
              </w:rPr>
              <w:t>%)</w:t>
            </w:r>
          </w:p>
        </w:tc>
        <w:tc>
          <w:tcPr>
            <w:tcW w:w="2693" w:type="dxa"/>
          </w:tcPr>
          <w:p w14:paraId="4CABEDB6" w14:textId="77777777"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1,0</w:t>
            </w:r>
            <w:r w:rsidR="000E550A" w:rsidRPr="00AF2E61">
              <w:rPr>
                <w:rFonts w:ascii="Arial" w:hAnsi="Arial" w:cs="Arial"/>
                <w:color w:val="000000"/>
                <w:szCs w:val="22"/>
              </w:rPr>
              <w:t>00,000</w:t>
            </w:r>
          </w:p>
          <w:p w14:paraId="7ACB3043" w14:textId="15E65258"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17</w:t>
            </w:r>
            <w:r w:rsidRPr="00AF2E61">
              <w:rPr>
                <w:rFonts w:ascii="Arial" w:hAnsi="Arial" w:cs="Arial"/>
                <w:color w:val="000000"/>
                <w:szCs w:val="22"/>
              </w:rPr>
              <w:t>%)</w:t>
            </w:r>
          </w:p>
        </w:tc>
      </w:tr>
      <w:tr w:rsidR="000E550A" w14:paraId="56A80920" w14:textId="77777777" w:rsidTr="00FF46CD">
        <w:trPr>
          <w:cantSplit/>
        </w:trPr>
        <w:tc>
          <w:tcPr>
            <w:tcW w:w="3828" w:type="dxa"/>
          </w:tcPr>
          <w:p w14:paraId="18542B13" w14:textId="3E82D009" w:rsidR="000E550A" w:rsidRPr="00AF2E61" w:rsidRDefault="000E550A" w:rsidP="00435664">
            <w:pPr>
              <w:spacing w:before="120" w:after="0"/>
              <w:rPr>
                <w:rFonts w:ascii="Arial" w:hAnsi="Arial" w:cs="Arial"/>
                <w:b/>
                <w:color w:val="000000"/>
                <w:szCs w:val="22"/>
              </w:rPr>
            </w:pPr>
            <w:r w:rsidRPr="00AF2E61">
              <w:rPr>
                <w:rFonts w:ascii="Arial" w:hAnsi="Arial" w:cs="Arial"/>
                <w:b/>
                <w:color w:val="000000"/>
                <w:szCs w:val="22"/>
              </w:rPr>
              <w:t xml:space="preserve">Total </w:t>
            </w:r>
            <w:r w:rsidR="000E0F27">
              <w:rPr>
                <w:rFonts w:ascii="Arial" w:hAnsi="Arial" w:cs="Arial"/>
                <w:b/>
                <w:color w:val="000000"/>
                <w:szCs w:val="22"/>
              </w:rPr>
              <w:t>s</w:t>
            </w:r>
            <w:r w:rsidRPr="00AF2E61">
              <w:rPr>
                <w:rFonts w:ascii="Arial" w:hAnsi="Arial" w:cs="Arial"/>
                <w:b/>
                <w:color w:val="000000"/>
                <w:szCs w:val="22"/>
              </w:rPr>
              <w:t>hares on issue</w:t>
            </w:r>
            <w:r w:rsidR="004728D6" w:rsidRPr="00AF2E61">
              <w:rPr>
                <w:rFonts w:ascii="Arial" w:hAnsi="Arial" w:cs="Arial"/>
                <w:b/>
                <w:color w:val="000000"/>
                <w:szCs w:val="22"/>
              </w:rPr>
              <w:t xml:space="preserve"> </w:t>
            </w:r>
            <w:r w:rsidRPr="00AF2E61">
              <w:rPr>
                <w:rFonts w:ascii="Arial" w:hAnsi="Arial" w:cs="Arial"/>
                <w:b/>
                <w:color w:val="000000"/>
                <w:szCs w:val="22"/>
              </w:rPr>
              <w:t>(</w:t>
            </w:r>
            <w:r w:rsidR="00C91966">
              <w:rPr>
                <w:rFonts w:ascii="Arial" w:hAnsi="Arial" w:cs="Arial"/>
                <w:b/>
                <w:color w:val="000000"/>
                <w:szCs w:val="22"/>
              </w:rPr>
              <w:t>u</w:t>
            </w:r>
            <w:r w:rsidR="00C91966" w:rsidRPr="00AF2E61">
              <w:rPr>
                <w:rFonts w:ascii="Arial" w:hAnsi="Arial" w:cs="Arial"/>
                <w:b/>
                <w:color w:val="000000"/>
                <w:szCs w:val="22"/>
              </w:rPr>
              <w:t>ndiluted</w:t>
            </w:r>
            <w:r w:rsidR="00FF2107">
              <w:rPr>
                <w:rFonts w:ascii="Arial" w:hAnsi="Arial" w:cs="Arial"/>
                <w:b/>
                <w:color w:val="000000"/>
                <w:szCs w:val="22"/>
              </w:rPr>
              <w:t xml:space="preserve"> </w:t>
            </w:r>
            <w:r w:rsidRPr="00AF2E61">
              <w:rPr>
                <w:rFonts w:ascii="Arial" w:hAnsi="Arial" w:cs="Arial"/>
                <w:b/>
                <w:color w:val="000000"/>
                <w:szCs w:val="22"/>
              </w:rPr>
              <w:t>basis)</w:t>
            </w:r>
            <w:r w:rsidR="006A3BF0">
              <w:rPr>
                <w:rFonts w:ascii="Arial" w:hAnsi="Arial" w:cs="Arial"/>
                <w:b/>
                <w:color w:val="000000"/>
                <w:szCs w:val="22"/>
              </w:rPr>
              <w:t>*</w:t>
            </w:r>
          </w:p>
        </w:tc>
        <w:tc>
          <w:tcPr>
            <w:tcW w:w="2693" w:type="dxa"/>
            <w:vAlign w:val="bottom"/>
          </w:tcPr>
          <w:p w14:paraId="7005289A" w14:textId="5C525071"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5</w:t>
            </w:r>
            <w:r w:rsidR="000E550A" w:rsidRPr="00AF2E61">
              <w:rPr>
                <w:rFonts w:ascii="Arial" w:hAnsi="Arial" w:cs="Arial"/>
                <w:color w:val="000000"/>
                <w:szCs w:val="22"/>
              </w:rPr>
              <w:t>,</w:t>
            </w:r>
            <w:r w:rsidRPr="00AF2E61">
              <w:rPr>
                <w:rFonts w:ascii="Arial" w:hAnsi="Arial" w:cs="Arial"/>
                <w:color w:val="000000"/>
                <w:szCs w:val="22"/>
              </w:rPr>
              <w:t>5</w:t>
            </w:r>
            <w:r w:rsidR="000E550A" w:rsidRPr="00AF2E61">
              <w:rPr>
                <w:rFonts w:ascii="Arial" w:hAnsi="Arial" w:cs="Arial"/>
                <w:color w:val="000000"/>
                <w:szCs w:val="22"/>
              </w:rPr>
              <w:t>00,000</w:t>
            </w:r>
          </w:p>
          <w:p w14:paraId="10F39EB3"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(100%)</w:t>
            </w:r>
          </w:p>
        </w:tc>
        <w:tc>
          <w:tcPr>
            <w:tcW w:w="2693" w:type="dxa"/>
          </w:tcPr>
          <w:p w14:paraId="6D1BEB27" w14:textId="5CE4D54B"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6</w:t>
            </w:r>
            <w:r w:rsidR="000E550A" w:rsidRPr="00AF2E61">
              <w:rPr>
                <w:rFonts w:ascii="Arial" w:hAnsi="Arial" w:cs="Arial"/>
                <w:color w:val="000000"/>
                <w:szCs w:val="22"/>
              </w:rPr>
              <w:t>,</w:t>
            </w:r>
            <w:r w:rsidRPr="00AF2E61">
              <w:rPr>
                <w:rFonts w:ascii="Arial" w:hAnsi="Arial" w:cs="Arial"/>
                <w:color w:val="000000"/>
                <w:szCs w:val="22"/>
              </w:rPr>
              <w:t>0</w:t>
            </w:r>
            <w:r w:rsidR="000E550A" w:rsidRPr="00AF2E61">
              <w:rPr>
                <w:rFonts w:ascii="Arial" w:hAnsi="Arial" w:cs="Arial"/>
                <w:color w:val="000000"/>
                <w:szCs w:val="22"/>
              </w:rPr>
              <w:t>00,000</w:t>
            </w:r>
          </w:p>
          <w:p w14:paraId="631924DC"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(100%)</w:t>
            </w:r>
          </w:p>
        </w:tc>
      </w:tr>
    </w:tbl>
    <w:p w14:paraId="1E9294D9" w14:textId="52280B3B" w:rsidR="006A3BF0" w:rsidRPr="00A41134" w:rsidRDefault="006A3BF0" w:rsidP="00A41134">
      <w:pPr>
        <w:pStyle w:val="Bodytextbullet"/>
        <w:numPr>
          <w:ilvl w:val="0"/>
          <w:numId w:val="0"/>
        </w:numPr>
        <w:rPr>
          <w:sz w:val="16"/>
          <w:szCs w:val="16"/>
        </w:rPr>
      </w:pPr>
      <w:r w:rsidRPr="00A41134">
        <w:rPr>
          <w:sz w:val="16"/>
          <w:szCs w:val="16"/>
        </w:rPr>
        <w:t>*</w:t>
      </w:r>
      <w:r w:rsidR="003F20B3">
        <w:rPr>
          <w:sz w:val="16"/>
          <w:szCs w:val="16"/>
        </w:rPr>
        <w:t xml:space="preserve"> </w:t>
      </w:r>
      <w:r w:rsidRPr="00A41134">
        <w:rPr>
          <w:sz w:val="16"/>
          <w:szCs w:val="16"/>
        </w:rPr>
        <w:t xml:space="preserve">If Mr X exercises his 500 options, the fully diluted issued capital of the </w:t>
      </w:r>
      <w:r w:rsidR="00D45F64">
        <w:rPr>
          <w:sz w:val="16"/>
          <w:szCs w:val="16"/>
        </w:rPr>
        <w:t>C</w:t>
      </w:r>
      <w:r w:rsidRPr="00A41134">
        <w:rPr>
          <w:sz w:val="16"/>
          <w:szCs w:val="16"/>
        </w:rPr>
        <w:t xml:space="preserve">ompany will </w:t>
      </w:r>
      <w:r w:rsidR="00C91966" w:rsidRPr="00A41134">
        <w:rPr>
          <w:sz w:val="16"/>
          <w:szCs w:val="16"/>
        </w:rPr>
        <w:t xml:space="preserve">be </w:t>
      </w:r>
      <w:r w:rsidR="003F20B3">
        <w:rPr>
          <w:sz w:val="16"/>
          <w:szCs w:val="16"/>
        </w:rPr>
        <w:t>5</w:t>
      </w:r>
      <w:r w:rsidR="00C91966" w:rsidRPr="00A41134">
        <w:rPr>
          <w:sz w:val="16"/>
          <w:szCs w:val="16"/>
        </w:rPr>
        <w:t>,</w:t>
      </w:r>
      <w:r w:rsidR="003F20B3">
        <w:rPr>
          <w:sz w:val="16"/>
          <w:szCs w:val="16"/>
        </w:rPr>
        <w:t>5</w:t>
      </w:r>
      <w:r w:rsidR="00C91966" w:rsidRPr="00A41134">
        <w:rPr>
          <w:sz w:val="16"/>
          <w:szCs w:val="16"/>
        </w:rPr>
        <w:t>00,</w:t>
      </w:r>
      <w:r w:rsidR="003F20B3">
        <w:rPr>
          <w:sz w:val="16"/>
          <w:szCs w:val="16"/>
        </w:rPr>
        <w:t>5</w:t>
      </w:r>
      <w:r w:rsidR="00C91966" w:rsidRPr="00A41134">
        <w:rPr>
          <w:sz w:val="16"/>
          <w:szCs w:val="16"/>
        </w:rPr>
        <w:t>00</w:t>
      </w:r>
      <w:r w:rsidRPr="00A41134">
        <w:rPr>
          <w:sz w:val="16"/>
          <w:szCs w:val="16"/>
        </w:rPr>
        <w:t xml:space="preserve"> shares (minimum subscription) and 6,</w:t>
      </w:r>
      <w:r w:rsidR="003F20B3">
        <w:rPr>
          <w:sz w:val="16"/>
          <w:szCs w:val="16"/>
        </w:rPr>
        <w:t>0</w:t>
      </w:r>
      <w:r w:rsidRPr="00A41134">
        <w:rPr>
          <w:sz w:val="16"/>
          <w:szCs w:val="16"/>
        </w:rPr>
        <w:t>00,</w:t>
      </w:r>
      <w:r w:rsidR="003F20B3">
        <w:rPr>
          <w:sz w:val="16"/>
          <w:szCs w:val="16"/>
        </w:rPr>
        <w:t>5</w:t>
      </w:r>
      <w:r w:rsidRPr="00A41134">
        <w:rPr>
          <w:sz w:val="16"/>
          <w:szCs w:val="16"/>
        </w:rPr>
        <w:t>00 (maximum subscription)</w:t>
      </w:r>
      <w:r w:rsidR="003F6E3A" w:rsidRPr="00A41134">
        <w:rPr>
          <w:sz w:val="16"/>
          <w:szCs w:val="16"/>
        </w:rPr>
        <w:t>.</w:t>
      </w:r>
    </w:p>
    <w:p w14:paraId="0DE0040B" w14:textId="58F7337E" w:rsidR="0051618A" w:rsidRPr="005811CA" w:rsidRDefault="0051618A" w:rsidP="0051618A">
      <w:pPr>
        <w:pStyle w:val="Heading4"/>
      </w:pPr>
      <w:r>
        <w:lastRenderedPageBreak/>
        <w:t>Rights associated with Class A shares, Class B shares and options</w:t>
      </w:r>
    </w:p>
    <w:p w14:paraId="2CF315D1" w14:textId="133A01F7" w:rsidR="00D51B90" w:rsidRDefault="00F927B6" w:rsidP="00FE1CE5">
      <w:pPr>
        <w:pStyle w:val="Templatecommentarytext"/>
      </w:pPr>
      <w:r>
        <w:t>I</w:t>
      </w:r>
      <w:r w:rsidR="00C91966">
        <w:t>n</w:t>
      </w:r>
      <w:r w:rsidR="0051618A">
        <w:t xml:space="preserve">clude </w:t>
      </w:r>
      <w:r w:rsidR="00C91966">
        <w:t xml:space="preserve">a description </w:t>
      </w:r>
      <w:r w:rsidR="006E1780">
        <w:t xml:space="preserve">or summary </w:t>
      </w:r>
      <w:r w:rsidR="0051618A">
        <w:t xml:space="preserve">of the </w:t>
      </w:r>
      <w:r w:rsidR="002144FC">
        <w:t>key</w:t>
      </w:r>
      <w:r w:rsidRPr="00EE1EB3">
        <w:t xml:space="preserve"> rights </w:t>
      </w:r>
      <w:r w:rsidR="003450EC">
        <w:t>associated with</w:t>
      </w:r>
      <w:r w:rsidRPr="00EE1EB3">
        <w:t xml:space="preserve"> </w:t>
      </w:r>
      <w:r w:rsidR="00243BFF">
        <w:t>all</w:t>
      </w:r>
      <w:r w:rsidR="0051618A">
        <w:t xml:space="preserve"> securities on issue</w:t>
      </w:r>
      <w:r w:rsidR="006E1780">
        <w:t xml:space="preserve"> and of the key provisions </w:t>
      </w:r>
      <w:r w:rsidR="00074425">
        <w:t xml:space="preserve">that deal with </w:t>
      </w:r>
      <w:r w:rsidR="00D45F64">
        <w:t xml:space="preserve">the </w:t>
      </w:r>
      <w:r w:rsidR="00074425">
        <w:t xml:space="preserve">rights and liabilities of the securities </w:t>
      </w:r>
      <w:r w:rsidR="006E1780">
        <w:t>contained in</w:t>
      </w:r>
      <w:r w:rsidR="006E1780" w:rsidRPr="00354591">
        <w:t xml:space="preserve"> the company</w:t>
      </w:r>
      <w:r w:rsidR="00C7359B">
        <w:t>’</w:t>
      </w:r>
      <w:r w:rsidR="006E1780" w:rsidRPr="00354591">
        <w:t xml:space="preserve">s constitution and any </w:t>
      </w:r>
      <w:r w:rsidR="006E1780">
        <w:t xml:space="preserve">current or proposed </w:t>
      </w:r>
      <w:r w:rsidR="006E1780" w:rsidRPr="00354591">
        <w:t>shareholder agreements</w:t>
      </w:r>
      <w:r w:rsidR="006E1780">
        <w:t xml:space="preserve"> (if applicable)</w:t>
      </w:r>
      <w:r w:rsidR="002144FC">
        <w:t xml:space="preserve">. </w:t>
      </w:r>
      <w:r w:rsidR="00B34111">
        <w:t>Y</w:t>
      </w:r>
      <w:r w:rsidR="0051618A">
        <w:t xml:space="preserve">ou </w:t>
      </w:r>
      <w:r w:rsidR="002144FC">
        <w:t xml:space="preserve">may </w:t>
      </w:r>
      <w:r w:rsidR="00B34111">
        <w:t xml:space="preserve">wish to include </w:t>
      </w:r>
      <w:r w:rsidR="002144FC">
        <w:t xml:space="preserve">a </w:t>
      </w:r>
      <w:r w:rsidR="00B34111">
        <w:t>full description of</w:t>
      </w:r>
      <w:r w:rsidR="0051618A">
        <w:t xml:space="preserve"> </w:t>
      </w:r>
      <w:r w:rsidR="00B34111">
        <w:t>the rights or key provisions</w:t>
      </w:r>
      <w:r w:rsidR="0051618A">
        <w:t xml:space="preserve"> </w:t>
      </w:r>
      <w:r w:rsidR="002144FC">
        <w:t xml:space="preserve">in </w:t>
      </w:r>
      <w:r w:rsidR="00923612">
        <w:t xml:space="preserve">another section or in </w:t>
      </w:r>
      <w:r w:rsidR="002144FC">
        <w:t xml:space="preserve">an </w:t>
      </w:r>
      <w:r w:rsidR="00074425">
        <w:t xml:space="preserve">appendix </w:t>
      </w:r>
      <w:r w:rsidR="002144FC">
        <w:t>to the CSF of</w:t>
      </w:r>
      <w:r w:rsidR="0051618A">
        <w:t>f</w:t>
      </w:r>
      <w:r w:rsidR="002144FC">
        <w:t>er document</w:t>
      </w:r>
      <w:r w:rsidR="00B34111">
        <w:t xml:space="preserve"> (with a summary and cross-reference in </w:t>
      </w:r>
      <w:r w:rsidR="00923612">
        <w:t>this section of the</w:t>
      </w:r>
      <w:r w:rsidR="00B34111">
        <w:t xml:space="preserve"> </w:t>
      </w:r>
      <w:r w:rsidR="00AE123A">
        <w:t xml:space="preserve">CSF </w:t>
      </w:r>
      <w:r w:rsidR="00B34111">
        <w:t>offer document)</w:t>
      </w:r>
      <w:r w:rsidR="0051618A">
        <w:t xml:space="preserve">. </w:t>
      </w:r>
      <w:r w:rsidR="00575520">
        <w:t>Also c</w:t>
      </w:r>
      <w:r w:rsidR="0051618A">
        <w:t xml:space="preserve">onsider providing a copy of your company constitution and/or any shareholder agreements in an </w:t>
      </w:r>
      <w:r w:rsidR="00074425">
        <w:t xml:space="preserve">appendix </w:t>
      </w:r>
      <w:r w:rsidR="0051618A">
        <w:t>to the CSF offer document.</w:t>
      </w:r>
    </w:p>
    <w:p w14:paraId="68A7066A" w14:textId="57E0B7AD" w:rsidR="0051618A" w:rsidRDefault="0051618A" w:rsidP="00CF3399">
      <w:pPr>
        <w:pStyle w:val="BodyText"/>
      </w:pPr>
      <w:r>
        <w:t>Mr X</w:t>
      </w:r>
      <w:r w:rsidR="00C7359B">
        <w:t>’</w:t>
      </w:r>
      <w:r>
        <w:t>s Class A shares have additional voting rights, with 10 votes for every share held. Dr</w:t>
      </w:r>
      <w:r w:rsidR="00435664">
        <w:t> </w:t>
      </w:r>
      <w:r>
        <w:t>Y</w:t>
      </w:r>
      <w:r w:rsidR="00C7359B">
        <w:t>’</w:t>
      </w:r>
      <w:r>
        <w:t xml:space="preserve">s Class B shares hold </w:t>
      </w:r>
      <w:r w:rsidR="00435664">
        <w:t>one</w:t>
      </w:r>
      <w:r>
        <w:t xml:space="preserve"> vote for every share held.</w:t>
      </w:r>
      <w:r w:rsidR="003450EC" w:rsidRPr="003450EC">
        <w:t xml:space="preserve"> </w:t>
      </w:r>
      <w:r w:rsidR="003450EC">
        <w:t>[</w:t>
      </w:r>
      <w:r w:rsidR="003450EC">
        <w:rPr>
          <w:i/>
        </w:rPr>
        <w:t xml:space="preserve">Insert a description </w:t>
      </w:r>
      <w:r w:rsidR="00B13F91">
        <w:rPr>
          <w:i/>
        </w:rPr>
        <w:t xml:space="preserve">of </w:t>
      </w:r>
      <w:r w:rsidR="003450EC">
        <w:rPr>
          <w:i/>
        </w:rPr>
        <w:t xml:space="preserve">other key </w:t>
      </w:r>
      <w:r w:rsidR="003450EC" w:rsidRPr="00EE1EB3">
        <w:rPr>
          <w:i/>
        </w:rPr>
        <w:t xml:space="preserve">rights </w:t>
      </w:r>
      <w:r w:rsidR="003450EC">
        <w:rPr>
          <w:i/>
        </w:rPr>
        <w:t>associated with the shares</w:t>
      </w:r>
      <w:r w:rsidR="003450EC" w:rsidRPr="0081575E">
        <w:t>]</w:t>
      </w:r>
    </w:p>
    <w:p w14:paraId="6199265F" w14:textId="1721F8ED" w:rsidR="00397ED8" w:rsidRDefault="00A54833" w:rsidP="00CF3399">
      <w:pPr>
        <w:pStyle w:val="BodyText"/>
      </w:pPr>
      <w:r>
        <w:t>T</w:t>
      </w:r>
      <w:r w:rsidR="000E550A" w:rsidRPr="00DD626E">
        <w:t>he</w:t>
      </w:r>
      <w:r w:rsidR="000E550A">
        <w:t xml:space="preserve">re is </w:t>
      </w:r>
      <w:r>
        <w:t xml:space="preserve">also </w:t>
      </w:r>
      <w:r w:rsidR="000E550A">
        <w:t xml:space="preserve">a </w:t>
      </w:r>
      <w:r w:rsidR="009F4373">
        <w:t>s</w:t>
      </w:r>
      <w:r w:rsidR="000E550A">
        <w:t xml:space="preserve">hareholder </w:t>
      </w:r>
      <w:r w:rsidR="009F4373">
        <w:t>a</w:t>
      </w:r>
      <w:r w:rsidR="000E550A">
        <w:t>greement between the Company</w:t>
      </w:r>
      <w:r w:rsidR="00C7359B">
        <w:t>’</w:t>
      </w:r>
      <w:r w:rsidR="000E550A">
        <w:t xml:space="preserve">s current shareholders, </w:t>
      </w:r>
      <w:r w:rsidR="000E550A" w:rsidRPr="00DD626E">
        <w:t>Mr X and Dr Y</w:t>
      </w:r>
      <w:r w:rsidR="003B0F9D">
        <w:t>.</w:t>
      </w:r>
      <w:r w:rsidR="000E550A" w:rsidRPr="00DD626E">
        <w:t xml:space="preserve"> </w:t>
      </w:r>
      <w:r w:rsidR="000E550A">
        <w:t xml:space="preserve">Under the </w:t>
      </w:r>
      <w:r w:rsidR="009F4373">
        <w:t>s</w:t>
      </w:r>
      <w:r w:rsidR="000E550A">
        <w:t xml:space="preserve">hareholder </w:t>
      </w:r>
      <w:r w:rsidR="009F4373">
        <w:t>a</w:t>
      </w:r>
      <w:r w:rsidR="000E550A">
        <w:t xml:space="preserve">greement, Mr X and Dr Y each </w:t>
      </w:r>
      <w:r w:rsidR="000E550A" w:rsidRPr="00DD626E">
        <w:t>have</w:t>
      </w:r>
      <w:r w:rsidR="000E550A">
        <w:t xml:space="preserve"> a</w:t>
      </w:r>
      <w:r w:rsidR="000E550A" w:rsidRPr="00DD626E">
        <w:t xml:space="preserve"> first right to purchase the </w:t>
      </w:r>
      <w:r w:rsidR="00B12384">
        <w:t>s</w:t>
      </w:r>
      <w:r w:rsidR="000E550A" w:rsidRPr="00DD626E">
        <w:t xml:space="preserve">hares of any shareholder wishing to sell their </w:t>
      </w:r>
      <w:r w:rsidR="00B12384">
        <w:t>s</w:t>
      </w:r>
      <w:r w:rsidR="000E550A" w:rsidRPr="00DD626E">
        <w:t>hares</w:t>
      </w:r>
      <w:r w:rsidR="000E550A" w:rsidRPr="00DD626E">
        <w:rPr>
          <w:i/>
        </w:rPr>
        <w:t xml:space="preserve">. </w:t>
      </w:r>
      <w:r w:rsidR="000E550A" w:rsidRPr="00DD626E">
        <w:t xml:space="preserve">If this right is exercised, this means </w:t>
      </w:r>
      <w:r w:rsidR="00A75010">
        <w:t xml:space="preserve">that </w:t>
      </w:r>
      <w:r w:rsidR="000E550A" w:rsidRPr="00DD626E">
        <w:t xml:space="preserve">Mr X and </w:t>
      </w:r>
      <w:r w:rsidR="00101BA2">
        <w:t>D</w:t>
      </w:r>
      <w:r w:rsidR="000E550A" w:rsidRPr="00DD626E">
        <w:t>r Y will maintain their majority ownership of the Company</w:t>
      </w:r>
      <w:r w:rsidR="000E550A">
        <w:t>.</w:t>
      </w:r>
      <w:r w:rsidR="00403530">
        <w:t xml:space="preserve"> </w:t>
      </w:r>
      <w:r w:rsidR="000E550A" w:rsidRPr="00DD626E">
        <w:t xml:space="preserve">If Mr X or Dr Y wish to sell their majority ownership of the Company to a third party, minority shareholders may be forced to sell their </w:t>
      </w:r>
      <w:r w:rsidR="00B12384">
        <w:t>s</w:t>
      </w:r>
      <w:r w:rsidR="000E550A" w:rsidRPr="00DD626E">
        <w:t xml:space="preserve">hares (this is known as a </w:t>
      </w:r>
      <w:r w:rsidR="00C7359B">
        <w:t>‘</w:t>
      </w:r>
      <w:r w:rsidR="000E550A" w:rsidRPr="00DD626E">
        <w:t>drag along</w:t>
      </w:r>
      <w:r w:rsidR="00C7359B">
        <w:t>’</w:t>
      </w:r>
      <w:r w:rsidR="000E550A" w:rsidRPr="00DD626E">
        <w:t xml:space="preserve"> right).</w:t>
      </w:r>
    </w:p>
    <w:p w14:paraId="5D88ADCD" w14:textId="4D3A6C31" w:rsidR="00F927B6" w:rsidRDefault="00F927B6" w:rsidP="00CF3399">
      <w:pPr>
        <w:pStyle w:val="BodyText"/>
        <w:rPr>
          <w:i/>
        </w:rPr>
      </w:pPr>
      <w:r>
        <w:t xml:space="preserve">Mr X may exercise his options at </w:t>
      </w:r>
      <w:r w:rsidR="00C91966">
        <w:t>any time</w:t>
      </w:r>
      <w:r>
        <w:t xml:space="preserve"> before 30 June 2018 at $0.25 per share. [</w:t>
      </w:r>
      <w:r>
        <w:rPr>
          <w:i/>
        </w:rPr>
        <w:t>I</w:t>
      </w:r>
      <w:r w:rsidR="00C91966">
        <w:rPr>
          <w:i/>
        </w:rPr>
        <w:t xml:space="preserve">nsert a description </w:t>
      </w:r>
      <w:r w:rsidR="00B13F91">
        <w:rPr>
          <w:i/>
        </w:rPr>
        <w:t xml:space="preserve">of </w:t>
      </w:r>
      <w:r w:rsidR="003450EC">
        <w:rPr>
          <w:i/>
        </w:rPr>
        <w:t xml:space="preserve">other </w:t>
      </w:r>
      <w:r w:rsidR="002144FC">
        <w:rPr>
          <w:i/>
        </w:rPr>
        <w:t xml:space="preserve">key </w:t>
      </w:r>
      <w:r w:rsidRPr="00EE1EB3">
        <w:rPr>
          <w:i/>
        </w:rPr>
        <w:t xml:space="preserve">rights </w:t>
      </w:r>
      <w:r w:rsidR="003450EC">
        <w:rPr>
          <w:i/>
        </w:rPr>
        <w:t>associated with the</w:t>
      </w:r>
      <w:r>
        <w:rPr>
          <w:i/>
        </w:rPr>
        <w:t xml:space="preserve"> options</w:t>
      </w:r>
      <w:r w:rsidRPr="0081575E">
        <w:t>]</w:t>
      </w:r>
    </w:p>
    <w:p w14:paraId="0011D870" w14:textId="52C420C1" w:rsidR="00A51162" w:rsidRPr="00FE1CE5" w:rsidRDefault="00A41134">
      <w:pPr>
        <w:pStyle w:val="BodyText"/>
      </w:pPr>
      <w:r>
        <w:t>Copies</w:t>
      </w:r>
      <w:r w:rsidR="00A51162" w:rsidRPr="00FE1CE5">
        <w:t xml:space="preserve"> of the Company</w:t>
      </w:r>
      <w:r w:rsidR="00C7359B">
        <w:t>’</w:t>
      </w:r>
      <w:r w:rsidR="00A51162" w:rsidRPr="00FE1CE5">
        <w:t xml:space="preserve">s constitution and the shareholder agreement </w:t>
      </w:r>
      <w:r w:rsidR="001B74CF">
        <w:t>betwee</w:t>
      </w:r>
      <w:r w:rsidR="005E1C27">
        <w:t>n</w:t>
      </w:r>
      <w:r w:rsidR="001B74CF">
        <w:t xml:space="preserve"> Mr X and Dr</w:t>
      </w:r>
      <w:r w:rsidR="00435664">
        <w:t> </w:t>
      </w:r>
      <w:r w:rsidR="001B74CF">
        <w:t>Y are attached in the Annexure and are available on the intermediary</w:t>
      </w:r>
      <w:r w:rsidR="00C7359B">
        <w:t>’</w:t>
      </w:r>
      <w:r w:rsidR="001B74CF">
        <w:t>s platform.</w:t>
      </w:r>
    </w:p>
    <w:p w14:paraId="5A8A330E" w14:textId="2C85F3D7" w:rsidR="005E1C27" w:rsidRDefault="000E550A" w:rsidP="005A6DC7">
      <w:pPr>
        <w:pStyle w:val="Heading3"/>
      </w:pPr>
      <w:r w:rsidRPr="00121F70">
        <w:t xml:space="preserve">Debt </w:t>
      </w:r>
      <w:r w:rsidR="009F4373">
        <w:t>f</w:t>
      </w:r>
      <w:r w:rsidRPr="00121F70">
        <w:t>unding</w:t>
      </w:r>
      <w:r w:rsidR="007B711C">
        <w:t xml:space="preserve"> and other sources of funding</w:t>
      </w:r>
    </w:p>
    <w:p w14:paraId="2BC17DF3" w14:textId="1C691D6C" w:rsidR="005E1C27" w:rsidRDefault="005E1C27" w:rsidP="005E1C27">
      <w:pPr>
        <w:pStyle w:val="Templatecommentarytext"/>
      </w:pPr>
      <w:r>
        <w:t xml:space="preserve">Include a description </w:t>
      </w:r>
      <w:r w:rsidR="007C6926">
        <w:t xml:space="preserve">or summary </w:t>
      </w:r>
      <w:r>
        <w:t>of the key</w:t>
      </w:r>
      <w:r w:rsidRPr="00EE1EB3">
        <w:t xml:space="preserve"> </w:t>
      </w:r>
      <w:r>
        <w:t>terms of any debt financing. If there are additional or complex terms that are not material or key information, you may consider including the</w:t>
      </w:r>
      <w:r w:rsidR="007C6926">
        <w:t xml:space="preserve"> more detailed</w:t>
      </w:r>
      <w:r>
        <w:t xml:space="preserve"> terms in an </w:t>
      </w:r>
      <w:r w:rsidR="007C6926">
        <w:t xml:space="preserve">appendix </w:t>
      </w:r>
      <w:r>
        <w:t xml:space="preserve">to the CSF offer document. </w:t>
      </w:r>
    </w:p>
    <w:p w14:paraId="4704071B" w14:textId="1A0D5AD5" w:rsidR="000E550A" w:rsidRPr="005811CA" w:rsidRDefault="000E550A" w:rsidP="005A6DC7">
      <w:pPr>
        <w:pStyle w:val="Heading4"/>
      </w:pPr>
      <w:r w:rsidRPr="005811CA">
        <w:t xml:space="preserve">Director </w:t>
      </w:r>
      <w:r w:rsidR="009F4373">
        <w:t>l</w:t>
      </w:r>
      <w:r w:rsidRPr="005811CA">
        <w:t>oans</w:t>
      </w:r>
    </w:p>
    <w:p w14:paraId="47FFFDD9" w14:textId="52BDA462" w:rsidR="00F835FD" w:rsidRDefault="00901CCA" w:rsidP="00F835FD">
      <w:pPr>
        <w:pStyle w:val="BodyText"/>
      </w:pPr>
      <w:r>
        <w:t>To date, our activities have been primarily funded by the Company</w:t>
      </w:r>
      <w:r w:rsidR="00C7359B">
        <w:t>’</w:t>
      </w:r>
      <w:r>
        <w:t xml:space="preserve">s founding shareholders (Mr X and Dr Y). </w:t>
      </w:r>
      <w:r w:rsidR="000E550A">
        <w:t xml:space="preserve">Mr X and Dr Y have loaned funds of </w:t>
      </w:r>
      <w:r w:rsidR="009F4373">
        <w:t>$</w:t>
      </w:r>
      <w:r w:rsidR="000E550A">
        <w:t>[</w:t>
      </w:r>
      <w:r w:rsidR="009F4373" w:rsidRPr="009F4373">
        <w:rPr>
          <w:i/>
        </w:rPr>
        <w:t>insert</w:t>
      </w:r>
      <w:r w:rsidR="000E550A">
        <w:t>] in total to the Company. The key terms of this loan are set out below.</w:t>
      </w:r>
      <w:r w:rsidR="00494A00">
        <w:t xml:space="preserve"> </w:t>
      </w:r>
      <w:r w:rsidR="000E550A">
        <w:t>[</w:t>
      </w:r>
      <w:r w:rsidR="000E550A" w:rsidRPr="00904E6A">
        <w:rPr>
          <w:i/>
        </w:rPr>
        <w:t xml:space="preserve">Include </w:t>
      </w:r>
      <w:r w:rsidR="002144FC">
        <w:rPr>
          <w:i/>
        </w:rPr>
        <w:t xml:space="preserve">key </w:t>
      </w:r>
      <w:r w:rsidR="000E550A" w:rsidRPr="00904E6A">
        <w:rPr>
          <w:i/>
        </w:rPr>
        <w:t>terms of loan</w:t>
      </w:r>
      <w:r w:rsidR="000E550A" w:rsidRPr="00B52F07">
        <w:t>]</w:t>
      </w:r>
    </w:p>
    <w:p w14:paraId="65F560F7" w14:textId="42BA3829" w:rsidR="007E5547" w:rsidRPr="005811CA" w:rsidRDefault="007E5547" w:rsidP="00F835FD">
      <w:pPr>
        <w:pStyle w:val="Heading4"/>
      </w:pPr>
      <w:r w:rsidRPr="005811CA">
        <w:t xml:space="preserve">Government </w:t>
      </w:r>
      <w:r>
        <w:t>g</w:t>
      </w:r>
      <w:r w:rsidRPr="005811CA">
        <w:t>rants</w:t>
      </w:r>
    </w:p>
    <w:p w14:paraId="4D729F46" w14:textId="15AB4911" w:rsidR="00867853" w:rsidRDefault="007E5547" w:rsidP="007E5547">
      <w:pPr>
        <w:pStyle w:val="BodyText"/>
      </w:pPr>
      <w:r>
        <w:t>The Company</w:t>
      </w:r>
      <w:r w:rsidRPr="00481C94">
        <w:t xml:space="preserve"> has secur</w:t>
      </w:r>
      <w:r>
        <w:t>ed</w:t>
      </w:r>
      <w:r w:rsidRPr="00481C94">
        <w:t xml:space="preserve"> </w:t>
      </w:r>
      <w:r>
        <w:t>award funding of $[</w:t>
      </w:r>
      <w:r w:rsidRPr="00F75BB5">
        <w:rPr>
          <w:i/>
        </w:rPr>
        <w:t>insert</w:t>
      </w:r>
      <w:r>
        <w:t xml:space="preserve">] from </w:t>
      </w:r>
      <w:r w:rsidRPr="00481C94">
        <w:t>the Minister for Industry</w:t>
      </w:r>
      <w:r w:rsidR="00A75010">
        <w:t>,</w:t>
      </w:r>
      <w:r w:rsidRPr="00481C94">
        <w:t xml:space="preserve"> Innovation a</w:t>
      </w:r>
      <w:r>
        <w:t>nd Science. Details of the terms of this grant</w:t>
      </w:r>
      <w:r w:rsidR="00901CCA">
        <w:t xml:space="preserve"> </w:t>
      </w:r>
      <w:r>
        <w:t>are below. [</w:t>
      </w:r>
      <w:r w:rsidRPr="00904E6A">
        <w:rPr>
          <w:i/>
        </w:rPr>
        <w:t>Include terms of grant</w:t>
      </w:r>
      <w:r>
        <w:t>]</w:t>
      </w:r>
    </w:p>
    <w:p w14:paraId="68674D48" w14:textId="77777777" w:rsidR="000E550A" w:rsidRPr="004A3FDA" w:rsidRDefault="000E550A" w:rsidP="00AD1C07">
      <w:pPr>
        <w:pStyle w:val="Heading2"/>
      </w:pPr>
      <w:bookmarkStart w:id="27" w:name="_Toc491090580"/>
      <w:bookmarkStart w:id="28" w:name="_Toc491096696"/>
      <w:bookmarkStart w:id="29" w:name="_Ref479085981"/>
      <w:bookmarkStart w:id="30" w:name="_Toc526771232"/>
      <w:bookmarkEnd w:id="27"/>
      <w:bookmarkEnd w:id="28"/>
      <w:r w:rsidRPr="004A3FDA">
        <w:t>Directors and senior managers</w:t>
      </w:r>
      <w:bookmarkEnd w:id="29"/>
      <w:bookmarkEnd w:id="30"/>
    </w:p>
    <w:p w14:paraId="5E0CBBB7" w14:textId="0B18B0FA" w:rsidR="000E550A" w:rsidRDefault="00640F44" w:rsidP="00AD1C07">
      <w:pPr>
        <w:pStyle w:val="Heading3"/>
      </w:pPr>
      <w:r>
        <w:t xml:space="preserve">Our </w:t>
      </w:r>
      <w:r w:rsidR="00427AD5">
        <w:t>d</w:t>
      </w:r>
      <w:r w:rsidR="000E550A">
        <w:t>irectors</w:t>
      </w:r>
      <w:r w:rsidR="00427AD5">
        <w:t xml:space="preserve"> and manage</w:t>
      </w:r>
      <w:r>
        <w:t>ment</w:t>
      </w:r>
    </w:p>
    <w:p w14:paraId="298A4AC0" w14:textId="25AEDD07" w:rsidR="000E550A" w:rsidRPr="00A56BC4" w:rsidRDefault="00D9641B" w:rsidP="001A2117">
      <w:pPr>
        <w:pStyle w:val="Templatecommentarytext"/>
      </w:pPr>
      <w:r>
        <w:t xml:space="preserve">Include </w:t>
      </w:r>
      <w:r w:rsidRPr="00EE434A">
        <w:t xml:space="preserve">details of </w:t>
      </w:r>
      <w:r>
        <w:t>the</w:t>
      </w:r>
      <w:r w:rsidRPr="00EE434A">
        <w:t xml:space="preserve"> </w:t>
      </w:r>
      <w:r>
        <w:t>skills and</w:t>
      </w:r>
      <w:r w:rsidRPr="00EE434A">
        <w:t xml:space="preserve"> experience </w:t>
      </w:r>
      <w:r>
        <w:t xml:space="preserve">of each director and senior manager </w:t>
      </w:r>
      <w:r w:rsidRPr="00EE434A">
        <w:t>that are relevant to the</w:t>
      </w:r>
      <w:r>
        <w:t>ir</w:t>
      </w:r>
      <w:r w:rsidRPr="00EE434A">
        <w:t xml:space="preserve"> role</w:t>
      </w:r>
      <w:r>
        <w:t>/position</w:t>
      </w:r>
      <w:r w:rsidRPr="00EE434A">
        <w:t xml:space="preserve"> in your company.</w:t>
      </w:r>
      <w:r>
        <w:t xml:space="preserve"> </w:t>
      </w:r>
      <w:r w:rsidRPr="00B16811">
        <w:t xml:space="preserve">See </w:t>
      </w:r>
      <w:r w:rsidRPr="00521219">
        <w:t xml:space="preserve">Table 16 in </w:t>
      </w:r>
      <w:hyperlink r:id="rId24" w:history="1">
        <w:r w:rsidRPr="00A75010">
          <w:rPr>
            <w:rStyle w:val="Hyperlink"/>
          </w:rPr>
          <w:t xml:space="preserve">RG </w:t>
        </w:r>
        <w:r w:rsidR="001013EB" w:rsidRPr="00A75010">
          <w:rPr>
            <w:rStyle w:val="Hyperlink"/>
          </w:rPr>
          <w:t>261</w:t>
        </w:r>
      </w:hyperlink>
      <w:r w:rsidRPr="004A7350">
        <w:t xml:space="preserve"> for further</w:t>
      </w:r>
      <w:r w:rsidRPr="00B16811">
        <w:t xml:space="preserve"> guidance</w:t>
      </w:r>
      <w:r>
        <w:t>.</w:t>
      </w:r>
    </w:p>
    <w:p w14:paraId="39627779" w14:textId="77777777" w:rsidR="000E550A" w:rsidRDefault="000E550A" w:rsidP="00AD1C07">
      <w:pPr>
        <w:pStyle w:val="Heading3"/>
      </w:pPr>
      <w:r>
        <w:lastRenderedPageBreak/>
        <w:t>Legal or disciplinary actions</w:t>
      </w:r>
    </w:p>
    <w:p w14:paraId="118E40FD" w14:textId="60657E99" w:rsidR="000E550A" w:rsidRPr="00EE434A" w:rsidRDefault="003D6D2E" w:rsidP="003D400F">
      <w:pPr>
        <w:pStyle w:val="Templatecommentarytext"/>
      </w:pPr>
      <w:r>
        <w:t>I</w:t>
      </w:r>
      <w:r w:rsidR="007360A7">
        <w:t>nclude details of</w:t>
      </w:r>
      <w:r w:rsidR="00A54833">
        <w:t>,</w:t>
      </w:r>
      <w:r w:rsidR="007360A7" w:rsidRPr="00EE434A">
        <w:t xml:space="preserve"> </w:t>
      </w:r>
      <w:r w:rsidR="005D566E">
        <w:t>and a description of the circumstances giving rise to</w:t>
      </w:r>
      <w:r w:rsidR="00A54833">
        <w:t>,</w:t>
      </w:r>
      <w:r w:rsidR="005D566E">
        <w:t xml:space="preserve"> </w:t>
      </w:r>
      <w:r w:rsidR="00414966">
        <w:t>the following</w:t>
      </w:r>
      <w:r w:rsidR="00414966" w:rsidRPr="00EE434A">
        <w:t xml:space="preserve"> </w:t>
      </w:r>
      <w:r w:rsidR="000E550A" w:rsidRPr="00EE434A">
        <w:t>legal or disciplinary actions</w:t>
      </w:r>
      <w:r w:rsidR="007649E7">
        <w:t>, if any,</w:t>
      </w:r>
      <w:r w:rsidR="000E550A" w:rsidRPr="00EE434A">
        <w:t xml:space="preserve"> against your </w:t>
      </w:r>
      <w:r w:rsidR="000864A5">
        <w:t>company</w:t>
      </w:r>
      <w:r w:rsidR="00C7359B">
        <w:t>’</w:t>
      </w:r>
      <w:r w:rsidR="000864A5">
        <w:t xml:space="preserve">s </w:t>
      </w:r>
      <w:r w:rsidR="00EF317B">
        <w:t xml:space="preserve">current and proposed </w:t>
      </w:r>
      <w:r w:rsidR="000E550A" w:rsidRPr="00EE434A">
        <w:t>directors and senior managers</w:t>
      </w:r>
      <w:r w:rsidR="00851714">
        <w:t>:</w:t>
      </w:r>
    </w:p>
    <w:p w14:paraId="195FF032" w14:textId="77777777" w:rsidR="000E550A" w:rsidRPr="004668A2" w:rsidRDefault="000E550A" w:rsidP="00AD1C07">
      <w:pPr>
        <w:pStyle w:val="Templatecommentarylist"/>
      </w:pPr>
      <w:r w:rsidRPr="00B16811">
        <w:t>convictions</w:t>
      </w:r>
      <w:r w:rsidR="005939DE">
        <w:t xml:space="preserve"> </w:t>
      </w:r>
      <w:r w:rsidR="007649E7">
        <w:t xml:space="preserve">of </w:t>
      </w:r>
      <w:r w:rsidR="007649E7" w:rsidRPr="00B16811">
        <w:t xml:space="preserve">criminal </w:t>
      </w:r>
      <w:r w:rsidR="007649E7">
        <w:t xml:space="preserve">offences </w:t>
      </w:r>
      <w:r w:rsidR="005939DE">
        <w:t>under the Corporations Act</w:t>
      </w:r>
    </w:p>
    <w:p w14:paraId="108E702E" w14:textId="77777777" w:rsidR="000E550A" w:rsidRPr="004668A2" w:rsidRDefault="00851714">
      <w:pPr>
        <w:pStyle w:val="Templatecommentarylist"/>
      </w:pPr>
      <w:r>
        <w:t>civil penalties</w:t>
      </w:r>
      <w:r w:rsidR="005939DE">
        <w:t xml:space="preserve"> imposed under the Corporations Act</w:t>
      </w:r>
    </w:p>
    <w:p w14:paraId="43724929" w14:textId="77777777" w:rsidR="000E550A" w:rsidRPr="004668A2" w:rsidRDefault="000E550A">
      <w:pPr>
        <w:pStyle w:val="Templatecommentarylist"/>
      </w:pPr>
      <w:r w:rsidRPr="00B16811">
        <w:t>disqualific</w:t>
      </w:r>
      <w:r w:rsidR="00851714">
        <w:t>ations from managing a company</w:t>
      </w:r>
      <w:r w:rsidR="00717752">
        <w:t xml:space="preserve"> under the Corporations Act</w:t>
      </w:r>
    </w:p>
    <w:p w14:paraId="126D896E" w14:textId="77DAA1C7" w:rsidR="000E550A" w:rsidRPr="004668A2" w:rsidRDefault="000E550A">
      <w:pPr>
        <w:pStyle w:val="Templatecommentarylist"/>
      </w:pPr>
      <w:r w:rsidRPr="00B16811">
        <w:t xml:space="preserve">banning </w:t>
      </w:r>
      <w:r w:rsidR="00717752">
        <w:t xml:space="preserve">or disqualification </w:t>
      </w:r>
      <w:r w:rsidRPr="00B16811">
        <w:t xml:space="preserve">orders </w:t>
      </w:r>
      <w:r w:rsidR="00EF317B">
        <w:t>(relating to an A</w:t>
      </w:r>
      <w:r w:rsidR="00A75010">
        <w:t>ustralian financial services</w:t>
      </w:r>
      <w:r w:rsidR="00EF317B">
        <w:t xml:space="preserve"> licence) </w:t>
      </w:r>
      <w:r w:rsidRPr="00B16811">
        <w:t>under s920A or 921A</w:t>
      </w:r>
      <w:r w:rsidR="00717752">
        <w:t xml:space="preserve"> of the Corporations Act</w:t>
      </w:r>
    </w:p>
    <w:p w14:paraId="0F3E0B25" w14:textId="77777777" w:rsidR="00101BA2" w:rsidRDefault="000E550A">
      <w:pPr>
        <w:pStyle w:val="Templatecommentarylist"/>
      </w:pPr>
      <w:r w:rsidRPr="00B16811">
        <w:t xml:space="preserve">whether the person is or has been </w:t>
      </w:r>
      <w:r w:rsidR="00717752">
        <w:t xml:space="preserve">a director, </w:t>
      </w:r>
      <w:r w:rsidR="00AB2141">
        <w:t>company secretary</w:t>
      </w:r>
      <w:r w:rsidR="00717752">
        <w:t xml:space="preserve"> or senior manager of</w:t>
      </w:r>
      <w:r w:rsidR="00427AD5">
        <w:t xml:space="preserve"> a company </w:t>
      </w:r>
      <w:r w:rsidR="00717752">
        <w:t xml:space="preserve">when it </w:t>
      </w:r>
      <w:r w:rsidR="00427AD5">
        <w:t xml:space="preserve">became </w:t>
      </w:r>
      <w:r w:rsidRPr="00B16811">
        <w:t>insolvent</w:t>
      </w:r>
    </w:p>
    <w:p w14:paraId="5A3E372C" w14:textId="54C59549" w:rsidR="002C795A" w:rsidRDefault="00101BA2">
      <w:pPr>
        <w:pStyle w:val="Templatecommentarylist"/>
      </w:pPr>
      <w:r>
        <w:t xml:space="preserve">any </w:t>
      </w:r>
      <w:r w:rsidR="005046FE">
        <w:t xml:space="preserve">court </w:t>
      </w:r>
      <w:r>
        <w:t>enforceable undertakings given to ASIC under s93AA or 93A of the</w:t>
      </w:r>
      <w:r w:rsidR="00C676E9">
        <w:t xml:space="preserve"> Australian Securities and Inves</w:t>
      </w:r>
      <w:r w:rsidR="00892B9C">
        <w:t>t</w:t>
      </w:r>
      <w:r w:rsidR="00C676E9">
        <w:t>ments Commission Act 2001</w:t>
      </w:r>
      <w:r>
        <w:t xml:space="preserve"> </w:t>
      </w:r>
      <w:r w:rsidR="00C676E9">
        <w:t>(</w:t>
      </w:r>
      <w:r>
        <w:t>ASIC Act</w:t>
      </w:r>
      <w:r w:rsidR="00C676E9">
        <w:t>)</w:t>
      </w:r>
    </w:p>
    <w:p w14:paraId="1FD77DAF" w14:textId="4D4A1D98" w:rsidR="000E550A" w:rsidRDefault="002C795A">
      <w:pPr>
        <w:pStyle w:val="Templatecommentarylist"/>
      </w:pPr>
      <w:r>
        <w:t>any other convictions or penalties under any other laws in the last 10 years.</w:t>
      </w:r>
    </w:p>
    <w:p w14:paraId="28FD6F3A" w14:textId="40621C33" w:rsidR="000E550A" w:rsidRPr="00851714" w:rsidRDefault="000E550A" w:rsidP="00634D3F">
      <w:pPr>
        <w:pStyle w:val="Templatecommentarytext"/>
      </w:pPr>
      <w:r w:rsidRPr="00EE434A">
        <w:t xml:space="preserve">See </w:t>
      </w:r>
      <w:r w:rsidRPr="00521219">
        <w:t>Table 1</w:t>
      </w:r>
      <w:r w:rsidR="00101BA2" w:rsidRPr="00521219">
        <w:t>6</w:t>
      </w:r>
      <w:r w:rsidRPr="00521219">
        <w:t xml:space="preserve"> in </w:t>
      </w:r>
      <w:hyperlink r:id="rId25" w:history="1">
        <w:r w:rsidRPr="00A75010">
          <w:rPr>
            <w:rStyle w:val="Hyperlink"/>
          </w:rPr>
          <w:t xml:space="preserve">RG </w:t>
        </w:r>
        <w:r w:rsidR="001013EB" w:rsidRPr="00A75010">
          <w:rPr>
            <w:rStyle w:val="Hyperlink"/>
          </w:rPr>
          <w:t>261</w:t>
        </w:r>
      </w:hyperlink>
      <w:r w:rsidR="007360A7">
        <w:t xml:space="preserve"> for further guidance</w:t>
      </w:r>
      <w:r w:rsidR="00414966">
        <w:t xml:space="preserve"> on the details that should be included</w:t>
      </w:r>
      <w:r w:rsidRPr="00521219">
        <w:t>.</w:t>
      </w:r>
    </w:p>
    <w:p w14:paraId="1DA0D6F2" w14:textId="77777777" w:rsidR="000E550A" w:rsidRPr="007C758D" w:rsidRDefault="0091266A" w:rsidP="00AD1C07">
      <w:pPr>
        <w:pStyle w:val="Heading2"/>
      </w:pPr>
      <w:bookmarkStart w:id="31" w:name="_Toc526771233"/>
      <w:r>
        <w:t>R</w:t>
      </w:r>
      <w:r w:rsidR="000E550A" w:rsidRPr="007C758D">
        <w:t>isks</w:t>
      </w:r>
      <w:r>
        <w:t xml:space="preserve"> facing the business</w:t>
      </w:r>
      <w:bookmarkEnd w:id="31"/>
    </w:p>
    <w:p w14:paraId="3E62B158" w14:textId="6AAC083E" w:rsidR="000E550A" w:rsidRPr="00EE434A" w:rsidRDefault="005D566E">
      <w:pPr>
        <w:pStyle w:val="Templatecommentarytext"/>
      </w:pPr>
      <w:r>
        <w:t>Describe</w:t>
      </w:r>
      <w:r w:rsidR="000E550A" w:rsidRPr="00EE434A">
        <w:t xml:space="preserve"> the </w:t>
      </w:r>
      <w:r w:rsidR="005B1C59">
        <w:t>main</w:t>
      </w:r>
      <w:r w:rsidR="005B1C59" w:rsidRPr="00EE434A">
        <w:t xml:space="preserve"> </w:t>
      </w:r>
      <w:r w:rsidR="000E550A" w:rsidRPr="00EE434A">
        <w:t xml:space="preserve">risks </w:t>
      </w:r>
      <w:r w:rsidR="005B1C59">
        <w:t>facing</w:t>
      </w:r>
      <w:r w:rsidR="000E550A" w:rsidRPr="00EE434A">
        <w:t xml:space="preserve"> your </w:t>
      </w:r>
      <w:r w:rsidR="000864A5">
        <w:t>company</w:t>
      </w:r>
      <w:r w:rsidR="00C7359B">
        <w:t>’</w:t>
      </w:r>
      <w:r w:rsidR="000864A5">
        <w:t xml:space="preserve">s </w:t>
      </w:r>
      <w:r w:rsidR="000E550A" w:rsidRPr="00EE434A">
        <w:t>business</w:t>
      </w:r>
      <w:r w:rsidR="009D7673">
        <w:t xml:space="preserve">. Only the risks that </w:t>
      </w:r>
      <w:r w:rsidR="000E550A" w:rsidRPr="00EE434A">
        <w:t xml:space="preserve">may impact the success or failure of </w:t>
      </w:r>
      <w:r w:rsidR="000864A5">
        <w:t>the</w:t>
      </w:r>
      <w:r w:rsidR="000E550A" w:rsidRPr="00EE434A">
        <w:t xml:space="preserve"> business</w:t>
      </w:r>
      <w:r w:rsidR="009D7673">
        <w:t xml:space="preserve"> should be included</w:t>
      </w:r>
      <w:r w:rsidR="000E550A" w:rsidRPr="00EE434A">
        <w:t>.</w:t>
      </w:r>
      <w:r w:rsidR="009D7673">
        <w:t xml:space="preserve"> </w:t>
      </w:r>
      <w:r w:rsidR="000E550A" w:rsidRPr="00302763">
        <w:t xml:space="preserve">See </w:t>
      </w:r>
      <w:r w:rsidR="000E550A" w:rsidRPr="00B0033F">
        <w:t xml:space="preserve">RG </w:t>
      </w:r>
      <w:r w:rsidR="001013EB">
        <w:t>261</w:t>
      </w:r>
      <w:r w:rsidR="009D7673" w:rsidRPr="00B0033F">
        <w:t>.</w:t>
      </w:r>
      <w:r w:rsidR="0056585C">
        <w:t>153</w:t>
      </w:r>
      <w:r w:rsidR="009D7673" w:rsidRPr="00B0033F">
        <w:t>–RG</w:t>
      </w:r>
      <w:r w:rsidR="00311B1C">
        <w:t> </w:t>
      </w:r>
      <w:r w:rsidR="001013EB">
        <w:t>261</w:t>
      </w:r>
      <w:r w:rsidR="009D7673" w:rsidRPr="00B0033F">
        <w:t>.1</w:t>
      </w:r>
      <w:r w:rsidR="0056585C">
        <w:t>6</w:t>
      </w:r>
      <w:r w:rsidR="00676396">
        <w:t>0</w:t>
      </w:r>
      <w:r w:rsidR="000E550A" w:rsidRPr="004A7350">
        <w:t xml:space="preserve"> for</w:t>
      </w:r>
      <w:r w:rsidR="000E550A">
        <w:t xml:space="preserve"> </w:t>
      </w:r>
      <w:r w:rsidR="009D7673">
        <w:t>further guidance</w:t>
      </w:r>
      <w:r w:rsidR="000E550A">
        <w:t>.</w:t>
      </w:r>
      <w:r w:rsidR="009D7673">
        <w:t xml:space="preserve"> An illustrative example is provided below.</w:t>
      </w:r>
    </w:p>
    <w:p w14:paraId="5CC7B69F" w14:textId="0E3856FE" w:rsidR="007B711C" w:rsidRDefault="000E550A" w:rsidP="007B711C">
      <w:pPr>
        <w:pStyle w:val="BodyText"/>
      </w:pPr>
      <w:r w:rsidRPr="00540053">
        <w:t>An investment in the Company should be seen as high</w:t>
      </w:r>
      <w:r w:rsidR="000864A5">
        <w:t>-</w:t>
      </w:r>
      <w:r w:rsidRPr="00540053">
        <w:t>risk and speculative</w:t>
      </w:r>
      <w:r w:rsidR="00851714">
        <w:t>.</w:t>
      </w:r>
      <w:r w:rsidR="0052779B">
        <w:t xml:space="preserve"> </w:t>
      </w:r>
      <w:r w:rsidRPr="00540053">
        <w:t>A</w:t>
      </w:r>
      <w:r w:rsidR="009D7673">
        <w:t xml:space="preserve"> description </w:t>
      </w:r>
      <w:r w:rsidRPr="00540053">
        <w:t>of the</w:t>
      </w:r>
      <w:r w:rsidR="005B1C59">
        <w:t xml:space="preserve"> main</w:t>
      </w:r>
      <w:r w:rsidRPr="00540053">
        <w:t xml:space="preserve"> risks </w:t>
      </w:r>
      <w:r w:rsidR="009D7673">
        <w:t>that may impact</w:t>
      </w:r>
      <w:r w:rsidRPr="00540053">
        <w:t xml:space="preserve"> </w:t>
      </w:r>
      <w:r w:rsidR="00E257CB">
        <w:t>our</w:t>
      </w:r>
      <w:r>
        <w:t xml:space="preserve"> business</w:t>
      </w:r>
      <w:r w:rsidRPr="00540053">
        <w:t xml:space="preserve"> is below. Investors </w:t>
      </w:r>
      <w:r w:rsidR="009368CC">
        <w:t xml:space="preserve">should read </w:t>
      </w:r>
      <w:r w:rsidRPr="00540053">
        <w:t xml:space="preserve">this section carefully before deciding to apply for </w:t>
      </w:r>
      <w:r w:rsidR="00B12384">
        <w:t>s</w:t>
      </w:r>
      <w:r w:rsidRPr="00540053">
        <w:t>hares</w:t>
      </w:r>
      <w:r>
        <w:t xml:space="preserve"> under the Offer</w:t>
      </w:r>
      <w:r w:rsidRPr="00540053">
        <w:t>.</w:t>
      </w:r>
      <w:r w:rsidR="009D7673">
        <w:t xml:space="preserve"> </w:t>
      </w:r>
      <w:r w:rsidRPr="00C74AB4">
        <w:t xml:space="preserve">There </w:t>
      </w:r>
      <w:r w:rsidR="000B4174">
        <w:t>are</w:t>
      </w:r>
      <w:r w:rsidR="009D7673">
        <w:t xml:space="preserve"> also </w:t>
      </w:r>
      <w:r w:rsidRPr="00C74AB4">
        <w:t>other, more general risks associated with the Company</w:t>
      </w:r>
      <w:r w:rsidR="000B4174">
        <w:t xml:space="preserve"> </w:t>
      </w:r>
      <w:r w:rsidRPr="00C74AB4">
        <w:t>(</w:t>
      </w:r>
      <w:r w:rsidR="00583CDC">
        <w:t>e.g.</w:t>
      </w:r>
      <w:r w:rsidRPr="00C74AB4">
        <w:t xml:space="preserve"> risks relating to general economic conditions</w:t>
      </w:r>
      <w:r w:rsidR="009D7673">
        <w:t xml:space="preserve"> or the inability to sell our shares</w:t>
      </w:r>
      <w:r w:rsidRPr="00C74AB4">
        <w:t>).</w:t>
      </w:r>
    </w:p>
    <w:p w14:paraId="3801764B" w14:textId="77777777" w:rsidR="00464439" w:rsidRPr="006B2552" w:rsidRDefault="00464439" w:rsidP="00FF46CD">
      <w:pPr>
        <w:pStyle w:val="Tablefiguretitle"/>
      </w:pPr>
      <w:r w:rsidRPr="006B2552">
        <w:t xml:space="preserve">Table </w:t>
      </w:r>
      <w:r>
        <w:t>3</w:t>
      </w:r>
      <w:r w:rsidRPr="006B2552">
        <w:t xml:space="preserve">: </w:t>
      </w:r>
      <w:r w:rsidR="0091266A">
        <w:t xml:space="preserve">Main </w:t>
      </w:r>
      <w:r>
        <w:t>risks</w:t>
      </w:r>
    </w:p>
    <w:tbl>
      <w:tblPr>
        <w:tblW w:w="921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268"/>
        <w:gridCol w:w="6946"/>
      </w:tblGrid>
      <w:tr w:rsidR="00464439" w:rsidRPr="00AF29BC" w14:paraId="729F9F86" w14:textId="77777777" w:rsidTr="00FF46CD">
        <w:trPr>
          <w:cantSplit/>
          <w:tblHeader/>
        </w:trPr>
        <w:tc>
          <w:tcPr>
            <w:tcW w:w="2268" w:type="dxa"/>
            <w:shd w:val="clear" w:color="auto" w:fill="DBE5F1"/>
          </w:tcPr>
          <w:p w14:paraId="2B23FBAE" w14:textId="77777777" w:rsidR="00464439" w:rsidRPr="00AF2E61" w:rsidRDefault="00464439" w:rsidP="00F835FD">
            <w:pPr>
              <w:widowControl w:val="0"/>
              <w:spacing w:before="120" w:after="120"/>
              <w:rPr>
                <w:rFonts w:ascii="Arial" w:hAnsi="Arial" w:cs="Arial"/>
                <w:b/>
                <w:color w:val="000000"/>
                <w:szCs w:val="22"/>
              </w:rPr>
            </w:pPr>
            <w:r w:rsidRPr="00AF2E61">
              <w:rPr>
                <w:rFonts w:ascii="Arial" w:hAnsi="Arial" w:cs="Arial"/>
                <w:b/>
                <w:color w:val="000000"/>
                <w:szCs w:val="22"/>
              </w:rPr>
              <w:t>Type of risk</w:t>
            </w:r>
          </w:p>
        </w:tc>
        <w:tc>
          <w:tcPr>
            <w:tcW w:w="6946" w:type="dxa"/>
            <w:shd w:val="clear" w:color="auto" w:fill="DBE5F1"/>
          </w:tcPr>
          <w:p w14:paraId="1E7B1349" w14:textId="77777777" w:rsidR="00464439" w:rsidRPr="00AF2E61" w:rsidRDefault="00464439" w:rsidP="00F835FD">
            <w:pPr>
              <w:widowControl w:val="0"/>
              <w:spacing w:before="120" w:after="120"/>
              <w:rPr>
                <w:rFonts w:ascii="Arial" w:hAnsi="Arial" w:cs="Arial"/>
                <w:b/>
                <w:color w:val="000000"/>
                <w:szCs w:val="22"/>
              </w:rPr>
            </w:pPr>
            <w:r w:rsidRPr="00AF2E61">
              <w:rPr>
                <w:rFonts w:ascii="Arial" w:hAnsi="Arial" w:cs="Arial"/>
                <w:b/>
                <w:color w:val="000000"/>
                <w:szCs w:val="22"/>
              </w:rPr>
              <w:t>Description of risk</w:t>
            </w:r>
          </w:p>
        </w:tc>
      </w:tr>
      <w:tr w:rsidR="00464439" w14:paraId="492EED56" w14:textId="77777777" w:rsidTr="00FF46CD">
        <w:trPr>
          <w:cantSplit/>
        </w:trPr>
        <w:tc>
          <w:tcPr>
            <w:tcW w:w="2268" w:type="dxa"/>
          </w:tcPr>
          <w:p w14:paraId="70B7C6DF" w14:textId="7AB6AC92" w:rsidR="00464439" w:rsidRPr="00AF2E61" w:rsidRDefault="00C05F35" w:rsidP="00F835FD">
            <w:pPr>
              <w:widowControl w:val="0"/>
              <w:spacing w:before="120" w:after="120"/>
              <w:rPr>
                <w:rFonts w:ascii="Arial" w:hAnsi="Arial" w:cs="Arial"/>
                <w:b/>
                <w:color w:val="000000"/>
                <w:szCs w:val="22"/>
              </w:rPr>
            </w:pPr>
            <w:r w:rsidRPr="00AF2E61">
              <w:rPr>
                <w:rFonts w:ascii="Arial" w:hAnsi="Arial" w:cs="Arial"/>
                <w:b/>
                <w:color w:val="000000"/>
                <w:szCs w:val="22"/>
              </w:rPr>
              <w:t>The Company</w:t>
            </w:r>
            <w:r w:rsidR="00C7359B">
              <w:rPr>
                <w:rFonts w:ascii="Arial" w:hAnsi="Arial" w:cs="Arial"/>
                <w:b/>
                <w:color w:val="000000"/>
                <w:szCs w:val="22"/>
              </w:rPr>
              <w:t>’</w:t>
            </w:r>
            <w:r w:rsidRPr="00AF2E61">
              <w:rPr>
                <w:rFonts w:ascii="Arial" w:hAnsi="Arial" w:cs="Arial"/>
                <w:b/>
                <w:color w:val="000000"/>
                <w:szCs w:val="22"/>
              </w:rPr>
              <w:t>s product is still in the development and clinical trial phase and may never be successfully commercialised</w:t>
            </w:r>
          </w:p>
        </w:tc>
        <w:tc>
          <w:tcPr>
            <w:tcW w:w="6946" w:type="dxa"/>
          </w:tcPr>
          <w:p w14:paraId="55554821" w14:textId="3F87ABEB" w:rsidR="00C05F35" w:rsidRPr="00196DD8" w:rsidRDefault="0052669F" w:rsidP="00F835FD">
            <w:pPr>
              <w:widowControl w:val="0"/>
              <w:spacing w:before="120" w:after="120"/>
              <w:rPr>
                <w:rFonts w:ascii="Arial" w:hAnsi="Arial" w:cs="Arial"/>
                <w:color w:val="000000"/>
                <w:spacing w:val="-1"/>
                <w:szCs w:val="22"/>
              </w:rPr>
            </w:pPr>
            <w:r w:rsidRPr="00196DD8">
              <w:rPr>
                <w:rFonts w:ascii="Arial" w:hAnsi="Arial" w:cs="Arial"/>
                <w:color w:val="000000"/>
                <w:spacing w:val="-1"/>
                <w:szCs w:val="22"/>
              </w:rPr>
              <w:t>The Company has a limited operating history</w:t>
            </w:r>
            <w:r w:rsidR="00D40B22" w:rsidRPr="00196DD8">
              <w:rPr>
                <w:rFonts w:ascii="Arial" w:hAnsi="Arial" w:cs="Arial"/>
                <w:color w:val="000000"/>
                <w:spacing w:val="-1"/>
                <w:szCs w:val="22"/>
              </w:rPr>
              <w:t xml:space="preserve"> and</w:t>
            </w:r>
            <w:r w:rsidRPr="00196DD8">
              <w:rPr>
                <w:rFonts w:ascii="Arial" w:hAnsi="Arial" w:cs="Arial"/>
                <w:color w:val="000000"/>
                <w:spacing w:val="-1"/>
                <w:szCs w:val="22"/>
              </w:rPr>
              <w:t xml:space="preserve"> is not yet profitable, as </w:t>
            </w:r>
            <w:r w:rsidR="00E257CB" w:rsidRPr="00196DD8">
              <w:rPr>
                <w:rFonts w:ascii="Arial" w:hAnsi="Arial" w:cs="Arial"/>
                <w:color w:val="000000"/>
                <w:spacing w:val="-1"/>
                <w:szCs w:val="22"/>
              </w:rPr>
              <w:t>our</w:t>
            </w:r>
            <w:r w:rsidRPr="00196DD8">
              <w:rPr>
                <w:rFonts w:ascii="Arial" w:hAnsi="Arial" w:cs="Arial"/>
                <w:color w:val="000000"/>
                <w:spacing w:val="-1"/>
                <w:szCs w:val="22"/>
              </w:rPr>
              <w:t xml:space="preserve"> </w:t>
            </w:r>
            <w:r w:rsidR="00D40B22" w:rsidRPr="00196DD8">
              <w:rPr>
                <w:rFonts w:ascii="Arial" w:hAnsi="Arial" w:cs="Arial"/>
                <w:color w:val="000000"/>
                <w:spacing w:val="-1"/>
                <w:szCs w:val="22"/>
              </w:rPr>
              <w:t xml:space="preserve">product </w:t>
            </w:r>
            <w:r w:rsidRPr="00196DD8">
              <w:rPr>
                <w:rFonts w:ascii="Arial" w:hAnsi="Arial" w:cs="Arial"/>
                <w:color w:val="000000"/>
                <w:spacing w:val="-1"/>
                <w:szCs w:val="22"/>
              </w:rPr>
              <w:t>is still in the development and clinical trial phase.</w:t>
            </w:r>
            <w:r w:rsidR="00D40B22" w:rsidRPr="00196DD8">
              <w:rPr>
                <w:rFonts w:ascii="Arial" w:hAnsi="Arial" w:cs="Arial"/>
                <w:color w:val="000000"/>
                <w:spacing w:val="-1"/>
                <w:szCs w:val="22"/>
              </w:rPr>
              <w:t xml:space="preserve"> </w:t>
            </w:r>
          </w:p>
          <w:p w14:paraId="43BD0237" w14:textId="6B255421" w:rsidR="00C05F35" w:rsidRPr="00196DD8" w:rsidRDefault="00C05F35" w:rsidP="00F835FD">
            <w:pPr>
              <w:widowControl w:val="0"/>
              <w:spacing w:before="120" w:after="120"/>
              <w:rPr>
                <w:rFonts w:ascii="Arial" w:hAnsi="Arial" w:cs="Arial"/>
                <w:color w:val="000000"/>
                <w:szCs w:val="22"/>
              </w:rPr>
            </w:pPr>
            <w:r w:rsidRPr="00196DD8">
              <w:rPr>
                <w:rFonts w:ascii="Arial" w:hAnsi="Arial" w:cs="Arial"/>
                <w:color w:val="000000"/>
                <w:szCs w:val="22"/>
              </w:rPr>
              <w:t>The commercial success of our product will depend on many factors, including our ability to demonstrate the effectiveness of the product (which will involve collecting further data from clinical trials and increas</w:t>
            </w:r>
            <w:r w:rsidR="00DC4E5C" w:rsidRPr="00196DD8">
              <w:rPr>
                <w:rFonts w:ascii="Arial" w:hAnsi="Arial" w:cs="Arial"/>
                <w:color w:val="000000"/>
                <w:szCs w:val="22"/>
              </w:rPr>
              <w:t>ing</w:t>
            </w:r>
            <w:r w:rsidRPr="00196DD8">
              <w:rPr>
                <w:rFonts w:ascii="Arial" w:hAnsi="Arial" w:cs="Arial"/>
                <w:color w:val="000000"/>
                <w:szCs w:val="22"/>
              </w:rPr>
              <w:t xml:space="preserve"> acceptance of our product by healthcare professionals).</w:t>
            </w:r>
          </w:p>
          <w:p w14:paraId="450AC4DB" w14:textId="3657E7A1" w:rsidR="00464439" w:rsidRPr="00AF2E61" w:rsidRDefault="00C05F35" w:rsidP="00F835FD">
            <w:pPr>
              <w:widowControl w:val="0"/>
              <w:spacing w:before="120" w:after="120"/>
              <w:rPr>
                <w:rFonts w:ascii="Arial" w:hAnsi="Arial" w:cs="Arial"/>
                <w:color w:val="000000"/>
                <w:szCs w:val="22"/>
              </w:rPr>
            </w:pPr>
            <w:r w:rsidRPr="00196DD8">
              <w:rPr>
                <w:rFonts w:ascii="Arial" w:hAnsi="Arial" w:cs="Arial"/>
                <w:color w:val="000000"/>
                <w:szCs w:val="22"/>
              </w:rPr>
              <w:t>If the results of the Company</w:t>
            </w:r>
            <w:r w:rsidR="00C7359B">
              <w:rPr>
                <w:rFonts w:ascii="Arial" w:hAnsi="Arial" w:cs="Arial"/>
                <w:color w:val="000000"/>
                <w:szCs w:val="22"/>
              </w:rPr>
              <w:t>’</w:t>
            </w:r>
            <w:r w:rsidRPr="00196DD8">
              <w:rPr>
                <w:rFonts w:ascii="Arial" w:hAnsi="Arial" w:cs="Arial"/>
                <w:color w:val="000000"/>
                <w:szCs w:val="22"/>
              </w:rPr>
              <w:t>s further clinical trials are not successful or we are unable to increase awareness and acceptance of our product within the healthcare profession, we may not be able to successfully commercialise our product. There is also a risk that we will not be able to successfully expand our manufacturing, sales and marketing programs. This will have a material adverse effect on the Company</w:t>
            </w:r>
            <w:r w:rsidR="00C7359B">
              <w:rPr>
                <w:rFonts w:ascii="Arial" w:hAnsi="Arial" w:cs="Arial"/>
                <w:color w:val="000000"/>
                <w:szCs w:val="22"/>
              </w:rPr>
              <w:t>’</w:t>
            </w:r>
            <w:r w:rsidRPr="00196DD8">
              <w:rPr>
                <w:rFonts w:ascii="Arial" w:hAnsi="Arial" w:cs="Arial"/>
                <w:color w:val="000000"/>
                <w:szCs w:val="22"/>
              </w:rPr>
              <w:t>s potential revenue and prospects.</w:t>
            </w:r>
          </w:p>
        </w:tc>
      </w:tr>
      <w:tr w:rsidR="00464439" w14:paraId="61704B08" w14:textId="77777777" w:rsidTr="00FF46CD">
        <w:trPr>
          <w:cantSplit/>
        </w:trPr>
        <w:tc>
          <w:tcPr>
            <w:tcW w:w="2268" w:type="dxa"/>
          </w:tcPr>
          <w:p w14:paraId="2853C5AC" w14:textId="77777777" w:rsidR="00464439" w:rsidRPr="00AF2E61" w:rsidRDefault="004717AC" w:rsidP="00F835FD">
            <w:pPr>
              <w:widowControl w:val="0"/>
              <w:spacing w:before="120" w:after="120"/>
              <w:rPr>
                <w:rFonts w:ascii="Arial" w:hAnsi="Arial" w:cs="Arial"/>
                <w:b/>
                <w:color w:val="000000"/>
                <w:szCs w:val="22"/>
              </w:rPr>
            </w:pPr>
            <w:r w:rsidRPr="00AF2E61">
              <w:rPr>
                <w:rFonts w:ascii="Arial" w:hAnsi="Arial" w:cs="Arial"/>
                <w:b/>
                <w:color w:val="000000"/>
                <w:szCs w:val="22"/>
              </w:rPr>
              <w:lastRenderedPageBreak/>
              <w:t xml:space="preserve">The Company </w:t>
            </w:r>
            <w:r w:rsidR="0052669F" w:rsidRPr="00AF2E61">
              <w:rPr>
                <w:rFonts w:ascii="Arial" w:hAnsi="Arial" w:cs="Arial"/>
                <w:b/>
                <w:color w:val="000000"/>
                <w:szCs w:val="22"/>
              </w:rPr>
              <w:t xml:space="preserve">may not obtain the regulatory approvals required to sell </w:t>
            </w:r>
            <w:r w:rsidRPr="00AF2E61">
              <w:rPr>
                <w:rFonts w:ascii="Arial" w:hAnsi="Arial" w:cs="Arial"/>
                <w:b/>
                <w:color w:val="000000"/>
                <w:szCs w:val="22"/>
              </w:rPr>
              <w:t xml:space="preserve">its </w:t>
            </w:r>
            <w:r w:rsidR="0052669F" w:rsidRPr="00AF2E61">
              <w:rPr>
                <w:rFonts w:ascii="Arial" w:hAnsi="Arial" w:cs="Arial"/>
                <w:b/>
                <w:color w:val="000000"/>
                <w:szCs w:val="22"/>
              </w:rPr>
              <w:t>product</w:t>
            </w:r>
          </w:p>
        </w:tc>
        <w:tc>
          <w:tcPr>
            <w:tcW w:w="6946" w:type="dxa"/>
          </w:tcPr>
          <w:p w14:paraId="30D331A0" w14:textId="77777777" w:rsidR="0052669F"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 Company has not yet received regulatory approval to sell </w:t>
            </w:r>
            <w:r w:rsidR="00E257CB" w:rsidRPr="00AF2E61">
              <w:rPr>
                <w:rFonts w:ascii="Arial" w:hAnsi="Arial" w:cs="Arial"/>
                <w:color w:val="000000"/>
                <w:szCs w:val="22"/>
              </w:rPr>
              <w:t>our</w:t>
            </w:r>
            <w:r w:rsidRPr="00AF2E61">
              <w:rPr>
                <w:rFonts w:ascii="Arial" w:hAnsi="Arial" w:cs="Arial"/>
                <w:color w:val="000000"/>
                <w:szCs w:val="22"/>
              </w:rPr>
              <w:t xml:space="preserve"> product in Australia or in any overseas jurisdictions. </w:t>
            </w:r>
            <w:r w:rsidR="00E257CB" w:rsidRPr="00AF2E61">
              <w:rPr>
                <w:rFonts w:ascii="Arial" w:hAnsi="Arial" w:cs="Arial"/>
                <w:color w:val="000000"/>
                <w:szCs w:val="22"/>
              </w:rPr>
              <w:t>Our</w:t>
            </w:r>
            <w:r w:rsidRPr="00AF2E61">
              <w:rPr>
                <w:rFonts w:ascii="Arial" w:hAnsi="Arial" w:cs="Arial"/>
                <w:color w:val="000000"/>
                <w:szCs w:val="22"/>
              </w:rPr>
              <w:t xml:space="preserve"> growth strategy depends on obtaining approvals from the r</w:t>
            </w:r>
            <w:r w:rsidR="00D66B90" w:rsidRPr="00AF2E61">
              <w:rPr>
                <w:rFonts w:ascii="Arial" w:hAnsi="Arial" w:cs="Arial"/>
                <w:color w:val="000000"/>
                <w:szCs w:val="22"/>
              </w:rPr>
              <w:t>elevant regulatory authorities.</w:t>
            </w:r>
          </w:p>
          <w:p w14:paraId="31238E4F" w14:textId="5C311056" w:rsidR="0052669F"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 Company has </w:t>
            </w:r>
            <w:r w:rsidR="00C91966" w:rsidRPr="00AF2E61">
              <w:rPr>
                <w:rFonts w:ascii="Arial" w:hAnsi="Arial" w:cs="Arial"/>
                <w:color w:val="000000"/>
                <w:szCs w:val="22"/>
              </w:rPr>
              <w:t>applied</w:t>
            </w:r>
            <w:r w:rsidRPr="00AF2E61">
              <w:rPr>
                <w:rFonts w:ascii="Arial" w:hAnsi="Arial" w:cs="Arial"/>
                <w:color w:val="000000"/>
                <w:szCs w:val="22"/>
              </w:rPr>
              <w:t xml:space="preserve"> to the Therapeutic Goods Administration (TGA), Australia</w:t>
            </w:r>
            <w:r w:rsidR="00C7359B">
              <w:rPr>
                <w:rFonts w:ascii="Arial" w:hAnsi="Arial" w:cs="Arial"/>
                <w:color w:val="000000"/>
                <w:szCs w:val="22"/>
              </w:rPr>
              <w:t>’</w:t>
            </w:r>
            <w:r w:rsidRPr="00AF2E61">
              <w:rPr>
                <w:rFonts w:ascii="Arial" w:hAnsi="Arial" w:cs="Arial"/>
                <w:color w:val="000000"/>
                <w:szCs w:val="22"/>
              </w:rPr>
              <w:t>s regulatory approval authori</w:t>
            </w:r>
            <w:r w:rsidR="00D66B90" w:rsidRPr="00AF2E61">
              <w:rPr>
                <w:rFonts w:ascii="Arial" w:hAnsi="Arial" w:cs="Arial"/>
                <w:color w:val="000000"/>
                <w:szCs w:val="22"/>
              </w:rPr>
              <w:t>ty, and is awaiting a response.</w:t>
            </w:r>
          </w:p>
          <w:p w14:paraId="3C17359B" w14:textId="77777777" w:rsidR="00464439"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There is no guarantee that </w:t>
            </w:r>
            <w:r w:rsidR="00E257CB" w:rsidRPr="00AF2E61">
              <w:rPr>
                <w:rFonts w:ascii="Arial" w:hAnsi="Arial" w:cs="Arial"/>
                <w:color w:val="000000"/>
                <w:szCs w:val="22"/>
              </w:rPr>
              <w:t>we</w:t>
            </w:r>
            <w:r w:rsidRPr="00AF2E61">
              <w:rPr>
                <w:rFonts w:ascii="Arial" w:hAnsi="Arial" w:cs="Arial"/>
                <w:color w:val="000000"/>
                <w:szCs w:val="22"/>
              </w:rPr>
              <w:t xml:space="preserve"> will receive all necessary regulatory approvals and </w:t>
            </w:r>
            <w:r w:rsidR="00E257CB" w:rsidRPr="00AF2E61">
              <w:rPr>
                <w:rFonts w:ascii="Arial" w:hAnsi="Arial" w:cs="Arial"/>
                <w:color w:val="000000"/>
                <w:szCs w:val="22"/>
              </w:rPr>
              <w:t>we</w:t>
            </w:r>
            <w:r w:rsidR="009F3CB6" w:rsidRPr="00AF2E61">
              <w:rPr>
                <w:rFonts w:ascii="Arial" w:hAnsi="Arial" w:cs="Arial"/>
                <w:color w:val="000000"/>
                <w:szCs w:val="22"/>
              </w:rPr>
              <w:t xml:space="preserve"> </w:t>
            </w:r>
            <w:r w:rsidRPr="00AF2E61">
              <w:rPr>
                <w:rFonts w:ascii="Arial" w:hAnsi="Arial" w:cs="Arial"/>
                <w:color w:val="000000"/>
                <w:szCs w:val="22"/>
              </w:rPr>
              <w:t xml:space="preserve">cannot predict with certainty the timelines for such approvals, or whether other requirements may be imposed by regulatory authorities (e.g. further clinical trials or other requirements to prove the effectiveness of </w:t>
            </w:r>
            <w:r w:rsidR="00E257CB" w:rsidRPr="00AF2E61">
              <w:rPr>
                <w:rFonts w:ascii="Arial" w:hAnsi="Arial" w:cs="Arial"/>
                <w:color w:val="000000"/>
                <w:szCs w:val="22"/>
              </w:rPr>
              <w:t>our</w:t>
            </w:r>
            <w:r w:rsidRPr="00AF2E61">
              <w:rPr>
                <w:rFonts w:ascii="Arial" w:hAnsi="Arial" w:cs="Arial"/>
                <w:color w:val="000000"/>
                <w:szCs w:val="22"/>
              </w:rPr>
              <w:t xml:space="preserve"> product).</w:t>
            </w:r>
          </w:p>
        </w:tc>
      </w:tr>
      <w:tr w:rsidR="002109F8" w14:paraId="68C968D0" w14:textId="77777777" w:rsidTr="00FF46CD">
        <w:trPr>
          <w:cantSplit/>
        </w:trPr>
        <w:tc>
          <w:tcPr>
            <w:tcW w:w="2268" w:type="dxa"/>
          </w:tcPr>
          <w:p w14:paraId="2BFB55F0" w14:textId="520C41F2" w:rsidR="002109F8" w:rsidRPr="00AF2E61" w:rsidRDefault="004717AC" w:rsidP="009F3CB6">
            <w:pPr>
              <w:spacing w:before="120" w:after="120"/>
              <w:rPr>
                <w:rFonts w:ascii="Arial" w:hAnsi="Arial" w:cs="Arial"/>
                <w:b/>
                <w:color w:val="000000"/>
                <w:szCs w:val="22"/>
              </w:rPr>
            </w:pPr>
            <w:r w:rsidRPr="00AF2E61">
              <w:rPr>
                <w:rFonts w:ascii="Arial" w:hAnsi="Arial" w:cs="Arial"/>
                <w:b/>
                <w:color w:val="000000"/>
                <w:szCs w:val="22"/>
              </w:rPr>
              <w:t>The Company</w:t>
            </w:r>
            <w:r w:rsidR="00C7359B">
              <w:rPr>
                <w:rFonts w:ascii="Arial" w:hAnsi="Arial" w:cs="Arial"/>
                <w:b/>
                <w:color w:val="000000"/>
                <w:szCs w:val="22"/>
              </w:rPr>
              <w:t>’</w:t>
            </w:r>
            <w:r w:rsidRPr="00AF2E61">
              <w:rPr>
                <w:rFonts w:ascii="Arial" w:hAnsi="Arial" w:cs="Arial"/>
                <w:b/>
                <w:color w:val="000000"/>
                <w:szCs w:val="22"/>
              </w:rPr>
              <w:t xml:space="preserve">s </w:t>
            </w:r>
            <w:r w:rsidR="002109F8" w:rsidRPr="00AF2E61">
              <w:rPr>
                <w:rFonts w:ascii="Arial" w:hAnsi="Arial" w:cs="Arial"/>
                <w:b/>
                <w:color w:val="000000"/>
                <w:szCs w:val="22"/>
              </w:rPr>
              <w:t>success relies on its ability to protect its intellectual property</w:t>
            </w:r>
          </w:p>
        </w:tc>
        <w:tc>
          <w:tcPr>
            <w:tcW w:w="6946" w:type="dxa"/>
          </w:tcPr>
          <w:p w14:paraId="641C9E78" w14:textId="3D4A2B85"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The protection of the Company</w:t>
            </w:r>
            <w:r w:rsidR="00C7359B">
              <w:rPr>
                <w:rFonts w:ascii="Arial" w:hAnsi="Arial" w:cs="Arial"/>
                <w:color w:val="000000"/>
                <w:szCs w:val="22"/>
              </w:rPr>
              <w:t>’</w:t>
            </w:r>
            <w:r w:rsidRPr="00AF2E61">
              <w:rPr>
                <w:rFonts w:ascii="Arial" w:hAnsi="Arial" w:cs="Arial"/>
                <w:color w:val="000000"/>
                <w:szCs w:val="22"/>
              </w:rPr>
              <w:t xml:space="preserve">s intellectual property is critical to </w:t>
            </w:r>
            <w:r w:rsidR="006259A4" w:rsidRPr="00AF2E61">
              <w:rPr>
                <w:rFonts w:ascii="Arial" w:hAnsi="Arial" w:cs="Arial"/>
                <w:color w:val="000000"/>
                <w:szCs w:val="22"/>
              </w:rPr>
              <w:t xml:space="preserve">our </w:t>
            </w:r>
            <w:r w:rsidRPr="00AF2E61">
              <w:rPr>
                <w:rFonts w:ascii="Arial" w:hAnsi="Arial" w:cs="Arial"/>
                <w:color w:val="000000"/>
                <w:szCs w:val="22"/>
              </w:rPr>
              <w:t>business and commercial success.</w:t>
            </w:r>
          </w:p>
          <w:p w14:paraId="38F849F8" w14:textId="46730010"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 xml:space="preserve">If </w:t>
            </w:r>
            <w:r w:rsidR="006259A4" w:rsidRPr="00AF2E61">
              <w:rPr>
                <w:rFonts w:ascii="Arial" w:hAnsi="Arial" w:cs="Arial"/>
                <w:color w:val="000000"/>
                <w:szCs w:val="22"/>
              </w:rPr>
              <w:t>we are</w:t>
            </w:r>
            <w:r w:rsidRPr="00AF2E61">
              <w:rPr>
                <w:rFonts w:ascii="Arial" w:hAnsi="Arial" w:cs="Arial"/>
                <w:color w:val="000000"/>
                <w:szCs w:val="22"/>
              </w:rPr>
              <w:t xml:space="preserve"> unable to protect or enforce </w:t>
            </w:r>
            <w:r w:rsidR="006259A4" w:rsidRPr="00AF2E61">
              <w:rPr>
                <w:rFonts w:ascii="Arial" w:hAnsi="Arial" w:cs="Arial"/>
                <w:color w:val="000000"/>
                <w:szCs w:val="22"/>
              </w:rPr>
              <w:t>the Company</w:t>
            </w:r>
            <w:r w:rsidR="00C7359B">
              <w:rPr>
                <w:rFonts w:ascii="Arial" w:hAnsi="Arial" w:cs="Arial"/>
                <w:color w:val="000000"/>
                <w:szCs w:val="22"/>
              </w:rPr>
              <w:t>’</w:t>
            </w:r>
            <w:r w:rsidR="006259A4" w:rsidRPr="00AF2E61">
              <w:rPr>
                <w:rFonts w:ascii="Arial" w:hAnsi="Arial" w:cs="Arial"/>
                <w:color w:val="000000"/>
                <w:szCs w:val="22"/>
              </w:rPr>
              <w:t xml:space="preserve">s </w:t>
            </w:r>
            <w:r w:rsidRPr="00AF2E61">
              <w:rPr>
                <w:rFonts w:ascii="Arial" w:hAnsi="Arial" w:cs="Arial"/>
                <w:color w:val="000000"/>
                <w:szCs w:val="22"/>
              </w:rPr>
              <w:t xml:space="preserve">intellectual property rights, there is a risk that other companies will copy </w:t>
            </w:r>
            <w:r w:rsidR="006259A4" w:rsidRPr="00AF2E61">
              <w:rPr>
                <w:rFonts w:ascii="Arial" w:hAnsi="Arial" w:cs="Arial"/>
                <w:color w:val="000000"/>
                <w:szCs w:val="22"/>
              </w:rPr>
              <w:t xml:space="preserve">our </w:t>
            </w:r>
            <w:r w:rsidRPr="00AF2E61">
              <w:rPr>
                <w:rFonts w:ascii="Arial" w:hAnsi="Arial" w:cs="Arial"/>
                <w:color w:val="000000"/>
                <w:szCs w:val="22"/>
              </w:rPr>
              <w:t xml:space="preserve">product and technology, which could adversely affect </w:t>
            </w:r>
            <w:r w:rsidR="006259A4" w:rsidRPr="00AF2E61">
              <w:rPr>
                <w:rFonts w:ascii="Arial" w:hAnsi="Arial" w:cs="Arial"/>
                <w:color w:val="000000"/>
                <w:szCs w:val="22"/>
              </w:rPr>
              <w:t>our</w:t>
            </w:r>
            <w:r w:rsidRPr="00AF2E61">
              <w:rPr>
                <w:rFonts w:ascii="Arial" w:hAnsi="Arial" w:cs="Arial"/>
                <w:color w:val="000000"/>
                <w:szCs w:val="22"/>
              </w:rPr>
              <w:t xml:space="preserve"> ability to compete in the bionic technology market.</w:t>
            </w:r>
          </w:p>
          <w:p w14:paraId="283A89E9" w14:textId="77777777" w:rsidR="002109F8" w:rsidRPr="00AF2E61" w:rsidRDefault="006259A4" w:rsidP="009F3CB6">
            <w:pPr>
              <w:spacing w:before="120" w:after="120"/>
              <w:rPr>
                <w:rFonts w:ascii="Arial" w:hAnsi="Arial" w:cs="Arial"/>
                <w:color w:val="000000"/>
                <w:szCs w:val="22"/>
              </w:rPr>
            </w:pPr>
            <w:r w:rsidRPr="00AF2E61">
              <w:rPr>
                <w:rFonts w:ascii="Arial" w:hAnsi="Arial" w:cs="Arial"/>
                <w:color w:val="000000"/>
                <w:szCs w:val="22"/>
              </w:rPr>
              <w:t>We have</w:t>
            </w:r>
            <w:r w:rsidR="002109F8" w:rsidRPr="00AF2E61">
              <w:rPr>
                <w:rFonts w:ascii="Arial" w:hAnsi="Arial" w:cs="Arial"/>
                <w:color w:val="000000"/>
                <w:szCs w:val="22"/>
              </w:rPr>
              <w:t xml:space="preserve"> three pending patent applications and there is no assurance that these applications will result in issued patents.</w:t>
            </w:r>
          </w:p>
        </w:tc>
      </w:tr>
      <w:tr w:rsidR="002109F8" w14:paraId="06BFA40E" w14:textId="77777777" w:rsidTr="00FF46CD">
        <w:trPr>
          <w:cantSplit/>
        </w:trPr>
        <w:tc>
          <w:tcPr>
            <w:tcW w:w="2268" w:type="dxa"/>
          </w:tcPr>
          <w:p w14:paraId="11C6E41C" w14:textId="77777777" w:rsidR="002109F8" w:rsidRPr="00AF2E61" w:rsidRDefault="004717AC" w:rsidP="009F3CB6">
            <w:pPr>
              <w:spacing w:before="120" w:after="120"/>
              <w:rPr>
                <w:rFonts w:ascii="Arial" w:hAnsi="Arial" w:cs="Arial"/>
                <w:b/>
                <w:color w:val="000000"/>
                <w:szCs w:val="22"/>
              </w:rPr>
            </w:pPr>
            <w:r w:rsidRPr="00AF2E61">
              <w:rPr>
                <w:rFonts w:ascii="Arial" w:hAnsi="Arial" w:cs="Arial"/>
                <w:b/>
                <w:color w:val="000000"/>
                <w:szCs w:val="22"/>
              </w:rPr>
              <w:t xml:space="preserve">The Company </w:t>
            </w:r>
            <w:r w:rsidR="002109F8" w:rsidRPr="00AF2E61">
              <w:rPr>
                <w:rFonts w:ascii="Arial" w:hAnsi="Arial" w:cs="Arial"/>
                <w:b/>
                <w:color w:val="000000"/>
                <w:szCs w:val="22"/>
              </w:rPr>
              <w:t>will need additional funding to implement its business strategy</w:t>
            </w:r>
          </w:p>
        </w:tc>
        <w:tc>
          <w:tcPr>
            <w:tcW w:w="6946" w:type="dxa"/>
          </w:tcPr>
          <w:p w14:paraId="1629B2E8" w14:textId="680D3597"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The Company</w:t>
            </w:r>
            <w:r w:rsidR="00C7359B">
              <w:rPr>
                <w:rFonts w:ascii="Arial" w:hAnsi="Arial" w:cs="Arial"/>
                <w:color w:val="000000"/>
                <w:szCs w:val="22"/>
              </w:rPr>
              <w:t>’</w:t>
            </w:r>
            <w:r w:rsidRPr="00AF2E61">
              <w:rPr>
                <w:rFonts w:ascii="Arial" w:hAnsi="Arial" w:cs="Arial"/>
                <w:color w:val="000000"/>
                <w:szCs w:val="22"/>
              </w:rPr>
              <w:t xml:space="preserve">s current cash reserves (plus the net proceeds of the Offer) will not be adequate for </w:t>
            </w:r>
            <w:r w:rsidR="006259A4" w:rsidRPr="00AF2E61">
              <w:rPr>
                <w:rFonts w:ascii="Arial" w:hAnsi="Arial" w:cs="Arial"/>
                <w:color w:val="000000"/>
                <w:szCs w:val="22"/>
              </w:rPr>
              <w:t>our</w:t>
            </w:r>
            <w:r w:rsidRPr="00AF2E61">
              <w:rPr>
                <w:rFonts w:ascii="Arial" w:hAnsi="Arial" w:cs="Arial"/>
                <w:color w:val="000000"/>
                <w:szCs w:val="22"/>
              </w:rPr>
              <w:t xml:space="preserve"> funding requirements beyond the next 18–24 months.</w:t>
            </w:r>
          </w:p>
          <w:p w14:paraId="58C1329D" w14:textId="3D3858B3" w:rsidR="002109F8" w:rsidRPr="00AF2E61" w:rsidRDefault="002109F8" w:rsidP="004717AC">
            <w:pPr>
              <w:spacing w:before="120" w:after="120"/>
              <w:rPr>
                <w:rFonts w:ascii="Arial" w:hAnsi="Arial" w:cs="Arial"/>
                <w:color w:val="000000"/>
                <w:szCs w:val="22"/>
              </w:rPr>
            </w:pPr>
            <w:r w:rsidRPr="00AF2E61">
              <w:rPr>
                <w:rFonts w:ascii="Arial" w:hAnsi="Arial" w:cs="Arial"/>
                <w:color w:val="000000"/>
                <w:szCs w:val="22"/>
              </w:rPr>
              <w:t xml:space="preserve">The Company will need to obtain additional funding to continue operations and execute its business strategy. </w:t>
            </w:r>
            <w:r w:rsidR="006259A4" w:rsidRPr="00AF2E61">
              <w:rPr>
                <w:rFonts w:ascii="Arial" w:hAnsi="Arial" w:cs="Arial"/>
                <w:color w:val="000000"/>
                <w:szCs w:val="22"/>
              </w:rPr>
              <w:t>We</w:t>
            </w:r>
            <w:r w:rsidRPr="00AF2E61">
              <w:rPr>
                <w:rFonts w:ascii="Arial" w:hAnsi="Arial" w:cs="Arial"/>
                <w:color w:val="000000"/>
                <w:szCs w:val="22"/>
              </w:rPr>
              <w:t xml:space="preserve"> cannot guarantee the availability of funds in the future, or that the funds will be available on favourable terms. If </w:t>
            </w:r>
            <w:r w:rsidR="006259A4" w:rsidRPr="00AF2E61">
              <w:rPr>
                <w:rFonts w:ascii="Arial" w:hAnsi="Arial" w:cs="Arial"/>
                <w:color w:val="000000"/>
                <w:szCs w:val="22"/>
              </w:rPr>
              <w:t>we are</w:t>
            </w:r>
            <w:r w:rsidRPr="00AF2E61">
              <w:rPr>
                <w:rFonts w:ascii="Arial" w:hAnsi="Arial" w:cs="Arial"/>
                <w:color w:val="000000"/>
                <w:szCs w:val="22"/>
              </w:rPr>
              <w:t xml:space="preserve"> unable to raise these funds, it could adversely impact </w:t>
            </w:r>
            <w:r w:rsidR="004717AC" w:rsidRPr="00AF2E61">
              <w:rPr>
                <w:rFonts w:ascii="Arial" w:hAnsi="Arial" w:cs="Arial"/>
                <w:color w:val="000000"/>
                <w:szCs w:val="22"/>
              </w:rPr>
              <w:t>the Company</w:t>
            </w:r>
            <w:r w:rsidR="00C7359B">
              <w:rPr>
                <w:rFonts w:ascii="Arial" w:hAnsi="Arial" w:cs="Arial"/>
                <w:color w:val="000000"/>
                <w:szCs w:val="22"/>
              </w:rPr>
              <w:t>’</w:t>
            </w:r>
            <w:r w:rsidR="004717AC" w:rsidRPr="00AF2E61">
              <w:rPr>
                <w:rFonts w:ascii="Arial" w:hAnsi="Arial" w:cs="Arial"/>
                <w:color w:val="000000"/>
                <w:szCs w:val="22"/>
              </w:rPr>
              <w:t xml:space="preserve">s </w:t>
            </w:r>
            <w:r w:rsidRPr="00AF2E61">
              <w:rPr>
                <w:rFonts w:ascii="Arial" w:hAnsi="Arial" w:cs="Arial"/>
                <w:color w:val="000000"/>
                <w:szCs w:val="22"/>
              </w:rPr>
              <w:t>business and prospects.</w:t>
            </w:r>
          </w:p>
        </w:tc>
      </w:tr>
    </w:tbl>
    <w:p w14:paraId="6CF71955" w14:textId="77777777" w:rsidR="00FA506B" w:rsidRDefault="00FA506B">
      <w:pPr>
        <w:spacing w:after="0"/>
        <w:rPr>
          <w:rFonts w:ascii="Arial" w:hAnsi="Arial"/>
          <w:b/>
          <w:color w:val="000000"/>
          <w:sz w:val="32"/>
          <w:szCs w:val="32"/>
        </w:rPr>
      </w:pPr>
      <w:r>
        <w:br w:type="page"/>
      </w:r>
    </w:p>
    <w:p w14:paraId="01055999" w14:textId="0E805986" w:rsidR="000E550A" w:rsidRPr="00860556" w:rsidRDefault="000E550A" w:rsidP="00AD1C07">
      <w:pPr>
        <w:pStyle w:val="Heading2"/>
      </w:pPr>
      <w:bookmarkStart w:id="32" w:name="_Toc526771234"/>
      <w:r w:rsidRPr="00860556">
        <w:lastRenderedPageBreak/>
        <w:t xml:space="preserve">Financial </w:t>
      </w:r>
      <w:r w:rsidR="0042516E">
        <w:t>i</w:t>
      </w:r>
      <w:r w:rsidRPr="00860556">
        <w:t>nformation</w:t>
      </w:r>
      <w:bookmarkEnd w:id="32"/>
    </w:p>
    <w:p w14:paraId="4EDB7C60" w14:textId="2FDE789B" w:rsidR="00445C6D" w:rsidRDefault="000B4174" w:rsidP="008A0200">
      <w:pPr>
        <w:pStyle w:val="Templatecommentarytext"/>
      </w:pPr>
      <w:r>
        <w:t>I</w:t>
      </w:r>
      <w:r w:rsidR="000E550A" w:rsidRPr="00EE434A">
        <w:t>nclude</w:t>
      </w:r>
      <w:r w:rsidR="00B721E3">
        <w:t xml:space="preserve"> </w:t>
      </w:r>
      <w:r w:rsidR="000E550A" w:rsidRPr="00EE434A">
        <w:t>your company</w:t>
      </w:r>
      <w:r w:rsidR="00C7359B">
        <w:t>’</w:t>
      </w:r>
      <w:r w:rsidR="000E550A" w:rsidRPr="00EE434A">
        <w:t xml:space="preserve">s financial statements, including </w:t>
      </w:r>
      <w:r w:rsidR="00B36006">
        <w:t>the</w:t>
      </w:r>
      <w:r w:rsidR="00B36006" w:rsidRPr="00EE434A">
        <w:t xml:space="preserve"> </w:t>
      </w:r>
      <w:r w:rsidR="000E550A" w:rsidRPr="00EE434A">
        <w:t>balance sheet, profit and loss statement</w:t>
      </w:r>
      <w:r w:rsidR="005B1C59">
        <w:t xml:space="preserve">, </w:t>
      </w:r>
      <w:r w:rsidR="000E550A" w:rsidRPr="00EE434A">
        <w:t>cash</w:t>
      </w:r>
      <w:r w:rsidR="00DB5CD6">
        <w:t xml:space="preserve"> </w:t>
      </w:r>
      <w:r w:rsidR="000E550A" w:rsidRPr="00EE434A">
        <w:t>flow statement</w:t>
      </w:r>
      <w:r w:rsidR="005B1C59">
        <w:t xml:space="preserve"> and statement of changes in equity</w:t>
      </w:r>
      <w:r w:rsidR="000E550A" w:rsidRPr="00EE434A">
        <w:t>, for the most recent financial year.</w:t>
      </w:r>
      <w:r w:rsidR="00535504">
        <w:t xml:space="preserve"> </w:t>
      </w:r>
      <w:r w:rsidR="00ED2417">
        <w:t>If your company has been incorporated for less than 12 months</w:t>
      </w:r>
      <w:r w:rsidR="00DC4E5C">
        <w:t xml:space="preserve"> </w:t>
      </w:r>
      <w:r w:rsidR="00ED2417">
        <w:t>(i.e. it has not yet had a full financial year)</w:t>
      </w:r>
      <w:r w:rsidR="00490506">
        <w:t xml:space="preserve">, </w:t>
      </w:r>
      <w:r w:rsidR="00ED2417">
        <w:t>t</w:t>
      </w:r>
      <w:r w:rsidR="00ED2417" w:rsidRPr="00354591">
        <w:t xml:space="preserve">he financial statements included in </w:t>
      </w:r>
      <w:r w:rsidR="00ED2417">
        <w:t>the CSF</w:t>
      </w:r>
      <w:r w:rsidR="00ED2417" w:rsidRPr="00354591">
        <w:t xml:space="preserve"> offer document must be</w:t>
      </w:r>
      <w:r w:rsidR="00ED2417">
        <w:t xml:space="preserve"> for the period from the date of incorporation to </w:t>
      </w:r>
      <w:r w:rsidR="00490506">
        <w:t>one</w:t>
      </w:r>
      <w:r w:rsidR="00ED2417">
        <w:t xml:space="preserve"> month before the date of the CSF offer.</w:t>
      </w:r>
    </w:p>
    <w:p w14:paraId="008044B6" w14:textId="2A39CFB7" w:rsidR="00FA506B" w:rsidRDefault="00FA506B" w:rsidP="008A0200">
      <w:pPr>
        <w:pStyle w:val="Templatecommentarytext"/>
      </w:pPr>
      <w:r>
        <w:t>The financial statements do not need to be audited or review</w:t>
      </w:r>
      <w:r w:rsidR="00F15B97">
        <w:t>ed</w:t>
      </w:r>
      <w:r>
        <w:t>. However, if your company</w:t>
      </w:r>
      <w:r w:rsidR="00C7359B">
        <w:t>’</w:t>
      </w:r>
      <w:r>
        <w:t>s most recent financial statements were audited or reviewed (</w:t>
      </w:r>
      <w:r w:rsidR="00583546">
        <w:t>e.g.</w:t>
      </w:r>
      <w:r>
        <w:t xml:space="preserve"> because your company was a large proprietary company or was a public company that </w:t>
      </w:r>
      <w:r w:rsidR="0044576E">
        <w:t>wa</w:t>
      </w:r>
      <w:r>
        <w:t>s not relying on the temporary audit concession at the end of your last financial year), you should include the audited or reviewed financial statements.</w:t>
      </w:r>
    </w:p>
    <w:p w14:paraId="32AF8705" w14:textId="39A86CB6" w:rsidR="00ED2417" w:rsidRDefault="00FA506B" w:rsidP="008A0200">
      <w:pPr>
        <w:pStyle w:val="Templatecommentarytext"/>
      </w:pPr>
      <w:r>
        <w:t xml:space="preserve">The financial statements must comply with the accounting standards. </w:t>
      </w:r>
      <w:r w:rsidR="00ED2417">
        <w:t xml:space="preserve">If your company is required under the accounting standards to prepare </w:t>
      </w:r>
      <w:r w:rsidR="00ED2417" w:rsidRPr="000774C1">
        <w:t>consolidated</w:t>
      </w:r>
      <w:r w:rsidR="00ED2417">
        <w:t xml:space="preserve"> financial statements</w:t>
      </w:r>
      <w:r w:rsidR="00490506">
        <w:t>,</w:t>
      </w:r>
      <w:r w:rsidR="00ED2417">
        <w:t xml:space="preserve"> you must include the consolidated financial statements. Otherwise, you must include your company</w:t>
      </w:r>
      <w:r w:rsidR="00C7359B">
        <w:t>’</w:t>
      </w:r>
      <w:r w:rsidR="00ED2417">
        <w:t xml:space="preserve">s </w:t>
      </w:r>
      <w:r w:rsidR="00710161">
        <w:t>separate</w:t>
      </w:r>
      <w:r w:rsidR="00ED2417">
        <w:t xml:space="preserve"> financial statements.</w:t>
      </w:r>
    </w:p>
    <w:p w14:paraId="0F0F154B" w14:textId="19BB05E8" w:rsidR="001E3DF2" w:rsidRPr="00EE434A" w:rsidRDefault="00F15B97" w:rsidP="008A0200">
      <w:pPr>
        <w:pStyle w:val="Templatecommentarytext"/>
      </w:pPr>
      <w:r>
        <w:t xml:space="preserve">A summary of your financial statements may be included in this section, with the full financial statements included in an appendix to the CSF offer document and </w:t>
      </w:r>
      <w:r w:rsidR="00E65C3D">
        <w:t xml:space="preserve">a </w:t>
      </w:r>
      <w:r>
        <w:t xml:space="preserve">cross-reference provided. </w:t>
      </w:r>
      <w:r w:rsidR="00DC4E5C">
        <w:t>Your company</w:t>
      </w:r>
      <w:r w:rsidR="00C7359B">
        <w:t>’</w:t>
      </w:r>
      <w:r w:rsidR="00DC4E5C">
        <w:t>s full financial report</w:t>
      </w:r>
      <w:r>
        <w:t xml:space="preserve"> (i.e. including the notes, directors</w:t>
      </w:r>
      <w:r w:rsidR="00C7359B">
        <w:t>’</w:t>
      </w:r>
      <w:r>
        <w:t xml:space="preserve"> report and auditor</w:t>
      </w:r>
      <w:r w:rsidR="00C7359B">
        <w:t>’</w:t>
      </w:r>
      <w:r>
        <w:t>s report, if applicable)</w:t>
      </w:r>
      <w:r w:rsidR="00DC4E5C">
        <w:t xml:space="preserve"> is not required</w:t>
      </w:r>
      <w:r w:rsidR="00E65C3D">
        <w:t>,</w:t>
      </w:r>
      <w:r w:rsidR="00535504">
        <w:t xml:space="preserve"> but you may wish to include this in an appendix to the </w:t>
      </w:r>
      <w:r w:rsidR="00AE123A">
        <w:t xml:space="preserve">CSF </w:t>
      </w:r>
      <w:r w:rsidR="00535504">
        <w:t>offer document</w:t>
      </w:r>
      <w:r w:rsidR="00DC4E5C">
        <w:t xml:space="preserve">. </w:t>
      </w:r>
      <w:r w:rsidR="00535504">
        <w:t>Y</w:t>
      </w:r>
      <w:r w:rsidR="00B36006">
        <w:t xml:space="preserve">ou should </w:t>
      </w:r>
      <w:r w:rsidR="00535504">
        <w:t xml:space="preserve">also </w:t>
      </w:r>
      <w:r w:rsidR="00B36006">
        <w:t xml:space="preserve">consider including </w:t>
      </w:r>
      <w:r w:rsidR="00DC4E5C">
        <w:t xml:space="preserve">any material information contained in </w:t>
      </w:r>
      <w:r w:rsidR="00B36006">
        <w:t>the notes to the financial statements</w:t>
      </w:r>
      <w:r w:rsidR="00DC4E5C">
        <w:t xml:space="preserve"> </w:t>
      </w:r>
      <w:r w:rsidR="00B36006">
        <w:t>(which, if omitted, may cause the financia</w:t>
      </w:r>
      <w:r w:rsidR="00D66B90">
        <w:t>l statements to be misleading).</w:t>
      </w:r>
      <w:r w:rsidR="00DC4E5C">
        <w:t xml:space="preserve"> </w:t>
      </w:r>
      <w:r w:rsidR="000E550A" w:rsidRPr="00EE434A">
        <w:t xml:space="preserve">See </w:t>
      </w:r>
      <w:r w:rsidR="000E550A" w:rsidRPr="00521219">
        <w:t>Table 1</w:t>
      </w:r>
      <w:r w:rsidR="00D61BB7" w:rsidRPr="00521219">
        <w:t>8</w:t>
      </w:r>
      <w:r w:rsidR="000E550A" w:rsidRPr="00521219">
        <w:t xml:space="preserve"> in </w:t>
      </w:r>
      <w:hyperlink r:id="rId26" w:history="1">
        <w:r w:rsidR="000E550A" w:rsidRPr="00E65C3D">
          <w:rPr>
            <w:rStyle w:val="Hyperlink"/>
          </w:rPr>
          <w:t xml:space="preserve">RG </w:t>
        </w:r>
        <w:r w:rsidR="001013EB" w:rsidRPr="00E65C3D">
          <w:rPr>
            <w:rStyle w:val="Hyperlink"/>
          </w:rPr>
          <w:t>261</w:t>
        </w:r>
      </w:hyperlink>
      <w:r w:rsidR="000E550A" w:rsidRPr="00EE434A">
        <w:t xml:space="preserve"> and </w:t>
      </w:r>
      <w:r w:rsidR="000E550A" w:rsidRPr="00B0033F">
        <w:t>RG</w:t>
      </w:r>
      <w:r w:rsidR="001013EB">
        <w:t> 261</w:t>
      </w:r>
      <w:r w:rsidR="000E550A" w:rsidRPr="00B0033F">
        <w:t>.</w:t>
      </w:r>
      <w:r w:rsidR="00751109">
        <w:t>161</w:t>
      </w:r>
      <w:r w:rsidR="000E550A" w:rsidRPr="00B0033F">
        <w:t xml:space="preserve">–RG </w:t>
      </w:r>
      <w:r w:rsidR="001013EB">
        <w:t>261</w:t>
      </w:r>
      <w:r w:rsidR="000E550A" w:rsidRPr="00B0033F">
        <w:t>.</w:t>
      </w:r>
      <w:r w:rsidR="00751109">
        <w:t>179</w:t>
      </w:r>
      <w:r w:rsidR="000E550A" w:rsidRPr="00EE434A">
        <w:t xml:space="preserve"> for further guidance.</w:t>
      </w:r>
    </w:p>
    <w:p w14:paraId="50B096F7" w14:textId="77777777" w:rsidR="000E550A" w:rsidRPr="00067C6B" w:rsidRDefault="000E550A" w:rsidP="004437F2">
      <w:pPr>
        <w:pStyle w:val="Heading1"/>
      </w:pPr>
      <w:bookmarkStart w:id="33" w:name="_Toc526771235"/>
      <w:r w:rsidRPr="00067C6B">
        <w:lastRenderedPageBreak/>
        <w:t>Information about the Offer</w:t>
      </w:r>
      <w:bookmarkEnd w:id="33"/>
    </w:p>
    <w:p w14:paraId="219C6ED4" w14:textId="77777777" w:rsidR="000E550A" w:rsidRPr="007325D2" w:rsidRDefault="000E550A" w:rsidP="00AD1C07">
      <w:pPr>
        <w:pStyle w:val="Heading2"/>
      </w:pPr>
      <w:bookmarkStart w:id="34" w:name="_Toc526771236"/>
      <w:r w:rsidRPr="007325D2">
        <w:t>Terms of the Offer</w:t>
      </w:r>
      <w:bookmarkEnd w:id="34"/>
    </w:p>
    <w:p w14:paraId="0954807A" w14:textId="08A86B81" w:rsidR="000E550A" w:rsidRPr="00AF3C7B" w:rsidRDefault="00FE66FE">
      <w:pPr>
        <w:pStyle w:val="Templatecommentarytext"/>
      </w:pPr>
      <w:r>
        <w:t xml:space="preserve">Provide </w:t>
      </w:r>
      <w:r w:rsidR="000E550A" w:rsidRPr="00C91320">
        <w:t xml:space="preserve">details about your </w:t>
      </w:r>
      <w:r w:rsidR="000864A5">
        <w:t>company</w:t>
      </w:r>
      <w:r w:rsidR="00C7359B">
        <w:t>’</w:t>
      </w:r>
      <w:r w:rsidR="000864A5">
        <w:t xml:space="preserve">s CSF </w:t>
      </w:r>
      <w:r w:rsidR="000E550A" w:rsidRPr="00C91320">
        <w:t xml:space="preserve">offer, including the type of shares being offered, </w:t>
      </w:r>
      <w:r>
        <w:t xml:space="preserve">the </w:t>
      </w:r>
      <w:r w:rsidR="000E550A" w:rsidRPr="00C91320">
        <w:t xml:space="preserve">minimum </w:t>
      </w:r>
      <w:r w:rsidR="00EF317B">
        <w:t xml:space="preserve">and </w:t>
      </w:r>
      <w:r w:rsidR="00EF317B" w:rsidRPr="00C91320">
        <w:t xml:space="preserve">maximum </w:t>
      </w:r>
      <w:r w:rsidR="000E550A" w:rsidRPr="00C91320">
        <w:t>subscription amounts</w:t>
      </w:r>
      <w:r w:rsidR="00D25ADF">
        <w:t>,</w:t>
      </w:r>
      <w:r w:rsidR="000E550A" w:rsidRPr="00C91320">
        <w:t xml:space="preserve"> and </w:t>
      </w:r>
      <w:r w:rsidR="000E550A">
        <w:t>the</w:t>
      </w:r>
      <w:r w:rsidR="000E550A" w:rsidRPr="00C91320">
        <w:t xml:space="preserve"> offer period.</w:t>
      </w:r>
      <w:r>
        <w:t xml:space="preserve"> </w:t>
      </w:r>
      <w:r w:rsidR="000E550A" w:rsidRPr="00AF3C7B">
        <w:t xml:space="preserve">See </w:t>
      </w:r>
      <w:r w:rsidR="000E550A" w:rsidRPr="00521219">
        <w:t>Table 1</w:t>
      </w:r>
      <w:r w:rsidR="000C23CA" w:rsidRPr="00521219">
        <w:t>9</w:t>
      </w:r>
      <w:r w:rsidR="000E550A" w:rsidRPr="00521219">
        <w:t xml:space="preserve"> in </w:t>
      </w:r>
      <w:hyperlink r:id="rId27" w:history="1">
        <w:r w:rsidR="000E550A" w:rsidRPr="00E65C3D">
          <w:rPr>
            <w:rStyle w:val="Hyperlink"/>
          </w:rPr>
          <w:t>RG</w:t>
        </w:r>
        <w:r w:rsidR="001013EB" w:rsidRPr="00E65C3D">
          <w:rPr>
            <w:rStyle w:val="Hyperlink"/>
          </w:rPr>
          <w:t> 261</w:t>
        </w:r>
      </w:hyperlink>
      <w:r w:rsidR="000E550A" w:rsidRPr="00521219">
        <w:t xml:space="preserve"> for</w:t>
      </w:r>
      <w:r w:rsidR="000E550A" w:rsidRPr="00AF3C7B">
        <w:t xml:space="preserve"> further guidance.</w:t>
      </w:r>
      <w:r>
        <w:t xml:space="preserve"> An illustrative example is provided below.</w:t>
      </w:r>
    </w:p>
    <w:p w14:paraId="09D18A69" w14:textId="3C14ED77" w:rsidR="000E550A" w:rsidRDefault="000E550A" w:rsidP="00CF3399">
      <w:pPr>
        <w:pStyle w:val="BodyText"/>
      </w:pPr>
      <w:r w:rsidRPr="00DF6A0C">
        <w:t xml:space="preserve">The Company is offering up to </w:t>
      </w:r>
      <w:r>
        <w:t>1,0</w:t>
      </w:r>
      <w:r w:rsidRPr="00DF6A0C">
        <w:t xml:space="preserve">00,000 </w:t>
      </w:r>
      <w:r w:rsidR="00B12384">
        <w:t>s</w:t>
      </w:r>
      <w:r w:rsidRPr="00DF6A0C">
        <w:t xml:space="preserve">hares at an issue price of $1 </w:t>
      </w:r>
      <w:r>
        <w:t xml:space="preserve">per </w:t>
      </w:r>
      <w:r w:rsidR="00B12384">
        <w:t>s</w:t>
      </w:r>
      <w:r>
        <w:t>hare to raise up to $1,0</w:t>
      </w:r>
      <w:r w:rsidRPr="00DF6A0C">
        <w:t>00,000.</w:t>
      </w:r>
      <w:r w:rsidR="00067C6B">
        <w:t xml:space="preserve"> </w:t>
      </w:r>
      <w:r w:rsidRPr="00DF6A0C">
        <w:t xml:space="preserve">The key terms and conditions of the </w:t>
      </w:r>
      <w:r w:rsidR="00302070">
        <w:t>O</w:t>
      </w:r>
      <w:r w:rsidRPr="00DF6A0C">
        <w:t xml:space="preserve">ffer are set out in </w:t>
      </w:r>
      <w:r w:rsidR="00067C6B">
        <w:t xml:space="preserve">Table </w:t>
      </w:r>
      <w:r w:rsidR="0052669F">
        <w:t>4</w:t>
      </w:r>
      <w:r w:rsidRPr="00DF6A0C">
        <w:t xml:space="preserve"> below.</w:t>
      </w:r>
    </w:p>
    <w:p w14:paraId="46B79990" w14:textId="77777777" w:rsidR="00046361" w:rsidRPr="006B2552" w:rsidRDefault="00046361" w:rsidP="001D12B1">
      <w:pPr>
        <w:pStyle w:val="Tablefiguretitle"/>
      </w:pPr>
      <w:r w:rsidRPr="006B2552">
        <w:t xml:space="preserve">Table </w:t>
      </w:r>
      <w:r w:rsidR="0052669F">
        <w:t>4</w:t>
      </w:r>
      <w:r w:rsidRPr="006B2552">
        <w:t xml:space="preserve">: </w:t>
      </w:r>
      <w:r w:rsidR="00067C6B" w:rsidRPr="006B2552">
        <w:t>Terms of the Offer</w:t>
      </w:r>
    </w:p>
    <w:tbl>
      <w:tblPr>
        <w:tblW w:w="9322" w:type="dxa"/>
        <w:tblBorders>
          <w:top w:val="single" w:sz="4" w:space="0" w:color="auto"/>
          <w:bottom w:val="single" w:sz="4" w:space="0" w:color="auto"/>
          <w:insideH w:val="single" w:sz="4" w:space="0" w:color="auto"/>
        </w:tblBorders>
        <w:tblLook w:val="04A0" w:firstRow="1" w:lastRow="0" w:firstColumn="1" w:lastColumn="0" w:noHBand="0" w:noVBand="1"/>
      </w:tblPr>
      <w:tblGrid>
        <w:gridCol w:w="2802"/>
        <w:gridCol w:w="6520"/>
      </w:tblGrid>
      <w:tr w:rsidR="00067C6B" w14:paraId="792D8132" w14:textId="77777777" w:rsidTr="004C0C57">
        <w:trPr>
          <w:tblHeader/>
        </w:trPr>
        <w:tc>
          <w:tcPr>
            <w:tcW w:w="2802" w:type="dxa"/>
            <w:shd w:val="clear" w:color="auto" w:fill="DBE5F1"/>
            <w:vAlign w:val="bottom"/>
          </w:tcPr>
          <w:p w14:paraId="0C8B04BA" w14:textId="77777777" w:rsidR="00067C6B" w:rsidRPr="00AF2E61" w:rsidRDefault="00067C6B" w:rsidP="00067C6B">
            <w:pPr>
              <w:spacing w:before="120" w:after="120"/>
              <w:rPr>
                <w:rFonts w:ascii="Arial" w:hAnsi="Arial"/>
                <w:b/>
                <w:color w:val="000000"/>
                <w:szCs w:val="22"/>
              </w:rPr>
            </w:pPr>
            <w:bookmarkStart w:id="35" w:name="ColumnTitle_Table3" w:colFirst="0" w:colLast="1"/>
            <w:r w:rsidRPr="00AF2E61">
              <w:rPr>
                <w:rFonts w:ascii="Arial" w:hAnsi="Arial"/>
                <w:b/>
                <w:color w:val="000000"/>
                <w:szCs w:val="22"/>
              </w:rPr>
              <w:t>Term</w:t>
            </w:r>
          </w:p>
        </w:tc>
        <w:tc>
          <w:tcPr>
            <w:tcW w:w="6520" w:type="dxa"/>
            <w:shd w:val="clear" w:color="auto" w:fill="DBE5F1"/>
            <w:vAlign w:val="bottom"/>
          </w:tcPr>
          <w:p w14:paraId="4C411E20" w14:textId="77777777" w:rsidR="00067C6B" w:rsidRPr="00AF2E61" w:rsidRDefault="00067C6B" w:rsidP="00067C6B">
            <w:pPr>
              <w:spacing w:before="120" w:after="120"/>
              <w:rPr>
                <w:rFonts w:ascii="Arial" w:hAnsi="Arial"/>
                <w:b/>
                <w:color w:val="000000"/>
                <w:szCs w:val="22"/>
              </w:rPr>
            </w:pPr>
            <w:r w:rsidRPr="00AF2E61">
              <w:rPr>
                <w:rFonts w:ascii="Arial" w:hAnsi="Arial"/>
                <w:b/>
                <w:color w:val="000000"/>
                <w:szCs w:val="22"/>
              </w:rPr>
              <w:t>Details</w:t>
            </w:r>
          </w:p>
        </w:tc>
      </w:tr>
      <w:bookmarkEnd w:id="35"/>
      <w:tr w:rsidR="000E550A" w14:paraId="0C46E105" w14:textId="77777777" w:rsidTr="004C0C57">
        <w:tc>
          <w:tcPr>
            <w:tcW w:w="2802" w:type="dxa"/>
          </w:tcPr>
          <w:p w14:paraId="61C2579E"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Shares</w:t>
            </w:r>
          </w:p>
        </w:tc>
        <w:tc>
          <w:tcPr>
            <w:tcW w:w="6520" w:type="dxa"/>
            <w:vAlign w:val="bottom"/>
          </w:tcPr>
          <w:p w14:paraId="77A83D5C" w14:textId="77777777" w:rsidR="000E550A" w:rsidRPr="00DF6A0C" w:rsidRDefault="000E550A" w:rsidP="00067C6B">
            <w:pPr>
              <w:spacing w:before="120" w:after="120"/>
              <w:rPr>
                <w:rFonts w:ascii="Arial" w:hAnsi="Arial"/>
                <w:szCs w:val="22"/>
              </w:rPr>
            </w:pPr>
            <w:r>
              <w:rPr>
                <w:rFonts w:ascii="Arial" w:hAnsi="Arial"/>
                <w:szCs w:val="22"/>
              </w:rPr>
              <w:t>Fully-paid ordinary shares</w:t>
            </w:r>
          </w:p>
        </w:tc>
      </w:tr>
      <w:tr w:rsidR="000E550A" w14:paraId="73EF5912" w14:textId="77777777" w:rsidTr="004C0C57">
        <w:tc>
          <w:tcPr>
            <w:tcW w:w="2802" w:type="dxa"/>
          </w:tcPr>
          <w:p w14:paraId="16333431"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Price</w:t>
            </w:r>
          </w:p>
        </w:tc>
        <w:tc>
          <w:tcPr>
            <w:tcW w:w="6520" w:type="dxa"/>
            <w:vAlign w:val="bottom"/>
          </w:tcPr>
          <w:p w14:paraId="4565F831" w14:textId="77777777" w:rsidR="000E550A" w:rsidRPr="00DF6A0C" w:rsidRDefault="000E550A" w:rsidP="00453ED0">
            <w:pPr>
              <w:spacing w:before="120" w:after="120"/>
              <w:rPr>
                <w:rFonts w:ascii="Arial" w:hAnsi="Arial"/>
                <w:szCs w:val="22"/>
              </w:rPr>
            </w:pPr>
            <w:r>
              <w:rPr>
                <w:rFonts w:ascii="Arial" w:hAnsi="Arial"/>
                <w:szCs w:val="22"/>
              </w:rPr>
              <w:t>$1 per share</w:t>
            </w:r>
          </w:p>
        </w:tc>
      </w:tr>
      <w:tr w:rsidR="000E550A" w14:paraId="14F65593" w14:textId="77777777" w:rsidTr="004C0C57">
        <w:tc>
          <w:tcPr>
            <w:tcW w:w="2802" w:type="dxa"/>
          </w:tcPr>
          <w:p w14:paraId="40390F9C" w14:textId="77777777" w:rsidR="000E550A" w:rsidRPr="00AF2E61" w:rsidRDefault="00B23DAC" w:rsidP="005A267A">
            <w:pPr>
              <w:spacing w:before="120" w:after="120"/>
              <w:rPr>
                <w:rFonts w:ascii="Arial" w:hAnsi="Arial"/>
                <w:b/>
                <w:color w:val="000000"/>
                <w:szCs w:val="22"/>
              </w:rPr>
            </w:pPr>
            <w:r w:rsidRPr="00AF2E61">
              <w:rPr>
                <w:rFonts w:ascii="Arial" w:hAnsi="Arial"/>
                <w:b/>
                <w:color w:val="000000"/>
                <w:szCs w:val="22"/>
              </w:rPr>
              <w:t xml:space="preserve">Minimum </w:t>
            </w:r>
            <w:r w:rsidRPr="00FF46CD">
              <w:rPr>
                <w:rFonts w:ascii="Arial" w:hAnsi="Arial"/>
                <w:b/>
                <w:szCs w:val="22"/>
              </w:rPr>
              <w:t>S</w:t>
            </w:r>
            <w:r w:rsidRPr="00AF2E61">
              <w:rPr>
                <w:rFonts w:ascii="Arial" w:hAnsi="Arial"/>
                <w:b/>
                <w:color w:val="000000"/>
                <w:szCs w:val="22"/>
              </w:rPr>
              <w:t>ubscription</w:t>
            </w:r>
          </w:p>
        </w:tc>
        <w:tc>
          <w:tcPr>
            <w:tcW w:w="6520" w:type="dxa"/>
            <w:vAlign w:val="bottom"/>
          </w:tcPr>
          <w:p w14:paraId="6818A81D" w14:textId="06E7769C" w:rsidR="000E550A" w:rsidRPr="00DF6A0C" w:rsidRDefault="00B23DAC" w:rsidP="00B23DAC">
            <w:pPr>
              <w:spacing w:before="120" w:after="120"/>
              <w:rPr>
                <w:rFonts w:ascii="Arial" w:hAnsi="Arial"/>
                <w:szCs w:val="22"/>
              </w:rPr>
            </w:pPr>
            <w:r>
              <w:rPr>
                <w:rFonts w:ascii="Arial" w:hAnsi="Arial"/>
                <w:szCs w:val="22"/>
              </w:rPr>
              <w:t>$500,000</w:t>
            </w:r>
          </w:p>
        </w:tc>
      </w:tr>
      <w:tr w:rsidR="000E550A" w14:paraId="66ED1914" w14:textId="77777777" w:rsidTr="004C0C57">
        <w:tc>
          <w:tcPr>
            <w:tcW w:w="2802" w:type="dxa"/>
          </w:tcPr>
          <w:p w14:paraId="493DB79A" w14:textId="77777777" w:rsidR="000E550A" w:rsidRPr="00AF2E61" w:rsidRDefault="00B23DAC" w:rsidP="005A267A">
            <w:pPr>
              <w:spacing w:before="120" w:after="120"/>
              <w:rPr>
                <w:rFonts w:ascii="Arial" w:hAnsi="Arial"/>
                <w:b/>
                <w:color w:val="000000"/>
                <w:szCs w:val="22"/>
              </w:rPr>
            </w:pPr>
            <w:r w:rsidRPr="00AF2E61">
              <w:rPr>
                <w:rFonts w:ascii="Arial" w:hAnsi="Arial"/>
                <w:b/>
                <w:color w:val="000000"/>
                <w:szCs w:val="22"/>
              </w:rPr>
              <w:t xml:space="preserve">Maximum </w:t>
            </w:r>
            <w:r w:rsidRPr="00FF46CD">
              <w:rPr>
                <w:rFonts w:ascii="Arial" w:hAnsi="Arial"/>
                <w:b/>
                <w:szCs w:val="22"/>
              </w:rPr>
              <w:t>S</w:t>
            </w:r>
            <w:r w:rsidRPr="00AF2E61">
              <w:rPr>
                <w:rFonts w:ascii="Arial" w:hAnsi="Arial"/>
                <w:b/>
                <w:color w:val="000000"/>
                <w:szCs w:val="22"/>
              </w:rPr>
              <w:t>ubscription</w:t>
            </w:r>
          </w:p>
        </w:tc>
        <w:tc>
          <w:tcPr>
            <w:tcW w:w="6520" w:type="dxa"/>
            <w:vAlign w:val="bottom"/>
          </w:tcPr>
          <w:p w14:paraId="5FB9688F" w14:textId="77777777" w:rsidR="000E550A" w:rsidRPr="00DF6A0C" w:rsidRDefault="00B23DAC" w:rsidP="00067C6B">
            <w:pPr>
              <w:spacing w:before="120" w:after="120"/>
              <w:rPr>
                <w:rFonts w:ascii="Arial" w:hAnsi="Arial"/>
                <w:szCs w:val="22"/>
              </w:rPr>
            </w:pPr>
            <w:r>
              <w:rPr>
                <w:rFonts w:ascii="Arial" w:hAnsi="Arial"/>
                <w:szCs w:val="22"/>
              </w:rPr>
              <w:t>$1,000,000</w:t>
            </w:r>
          </w:p>
        </w:tc>
      </w:tr>
      <w:tr w:rsidR="000E550A" w14:paraId="219933B1" w14:textId="77777777" w:rsidTr="004C0C57">
        <w:tc>
          <w:tcPr>
            <w:tcW w:w="2802" w:type="dxa"/>
          </w:tcPr>
          <w:p w14:paraId="30E7FA05"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 xml:space="preserve">Opening </w:t>
            </w:r>
            <w:r w:rsidR="00453ED0" w:rsidRPr="00AF2E61">
              <w:rPr>
                <w:rFonts w:ascii="Arial" w:hAnsi="Arial"/>
                <w:b/>
                <w:color w:val="000000"/>
                <w:szCs w:val="22"/>
              </w:rPr>
              <w:t>d</w:t>
            </w:r>
            <w:r w:rsidRPr="00AF2E61">
              <w:rPr>
                <w:rFonts w:ascii="Arial" w:hAnsi="Arial"/>
                <w:b/>
                <w:color w:val="000000"/>
                <w:szCs w:val="22"/>
              </w:rPr>
              <w:t>ate</w:t>
            </w:r>
          </w:p>
        </w:tc>
        <w:tc>
          <w:tcPr>
            <w:tcW w:w="6520" w:type="dxa"/>
            <w:vAlign w:val="bottom"/>
          </w:tcPr>
          <w:p w14:paraId="4E6F5EEB" w14:textId="31BFC867" w:rsidR="000E550A" w:rsidRPr="00F01B20" w:rsidRDefault="000E550A" w:rsidP="00067C6B">
            <w:pPr>
              <w:spacing w:before="120" w:after="120"/>
              <w:rPr>
                <w:rFonts w:ascii="Arial" w:hAnsi="Arial"/>
                <w:i/>
                <w:szCs w:val="22"/>
              </w:rPr>
            </w:pPr>
            <w:r w:rsidRPr="00AF2E61">
              <w:rPr>
                <w:rFonts w:ascii="Arial" w:hAnsi="Arial"/>
                <w:color w:val="000000"/>
                <w:szCs w:val="22"/>
              </w:rPr>
              <w:t>[</w:t>
            </w:r>
            <w:r w:rsidRPr="00AF2E61">
              <w:rPr>
                <w:rFonts w:ascii="Arial" w:hAnsi="Arial"/>
                <w:i/>
                <w:color w:val="000000"/>
                <w:szCs w:val="22"/>
              </w:rPr>
              <w:t xml:space="preserve">Insert the date the </w:t>
            </w:r>
            <w:r w:rsidR="001450BD" w:rsidRPr="00AF2E61">
              <w:rPr>
                <w:rFonts w:ascii="Arial" w:hAnsi="Arial"/>
                <w:i/>
                <w:color w:val="000000"/>
                <w:szCs w:val="22"/>
              </w:rPr>
              <w:t xml:space="preserve">CSF </w:t>
            </w:r>
            <w:r w:rsidRPr="00AF2E61">
              <w:rPr>
                <w:rFonts w:ascii="Arial" w:hAnsi="Arial"/>
                <w:i/>
                <w:color w:val="000000"/>
                <w:szCs w:val="22"/>
              </w:rPr>
              <w:t xml:space="preserve">offer document is published on the </w:t>
            </w:r>
            <w:r w:rsidR="000D270E" w:rsidRPr="00AF2E61">
              <w:rPr>
                <w:rFonts w:ascii="Arial" w:hAnsi="Arial"/>
                <w:i/>
                <w:color w:val="000000"/>
                <w:szCs w:val="22"/>
              </w:rPr>
              <w:t xml:space="preserve">CSF </w:t>
            </w:r>
            <w:r w:rsidRPr="00AF2E61">
              <w:rPr>
                <w:rFonts w:ascii="Arial" w:hAnsi="Arial"/>
                <w:i/>
                <w:color w:val="000000"/>
                <w:szCs w:val="22"/>
              </w:rPr>
              <w:t>intermediary</w:t>
            </w:r>
            <w:r w:rsidR="00C7359B">
              <w:rPr>
                <w:rFonts w:ascii="Arial" w:hAnsi="Arial"/>
                <w:i/>
                <w:color w:val="000000"/>
                <w:szCs w:val="22"/>
              </w:rPr>
              <w:t>’</w:t>
            </w:r>
            <w:r w:rsidRPr="00AF2E61">
              <w:rPr>
                <w:rFonts w:ascii="Arial" w:hAnsi="Arial"/>
                <w:i/>
                <w:color w:val="000000"/>
                <w:szCs w:val="22"/>
              </w:rPr>
              <w:t>s platform</w:t>
            </w:r>
            <w:r w:rsidRPr="00AF2E61">
              <w:rPr>
                <w:rFonts w:ascii="Arial" w:hAnsi="Arial"/>
                <w:color w:val="000000"/>
                <w:szCs w:val="22"/>
              </w:rPr>
              <w:t>]</w:t>
            </w:r>
          </w:p>
        </w:tc>
      </w:tr>
      <w:tr w:rsidR="000E550A" w14:paraId="1FCCC621" w14:textId="77777777" w:rsidTr="004C0C57">
        <w:tc>
          <w:tcPr>
            <w:tcW w:w="2802" w:type="dxa"/>
          </w:tcPr>
          <w:p w14:paraId="0D60CA5F"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Closing date</w:t>
            </w:r>
          </w:p>
        </w:tc>
        <w:tc>
          <w:tcPr>
            <w:tcW w:w="6520" w:type="dxa"/>
            <w:vAlign w:val="bottom"/>
          </w:tcPr>
          <w:p w14:paraId="55405369" w14:textId="77777777" w:rsidR="000E550A" w:rsidRPr="00DF6A0C" w:rsidRDefault="000E550A" w:rsidP="000C23CA">
            <w:pPr>
              <w:spacing w:before="120" w:after="120"/>
              <w:rPr>
                <w:rFonts w:ascii="Arial" w:hAnsi="Arial"/>
                <w:szCs w:val="22"/>
              </w:rPr>
            </w:pPr>
            <w:r w:rsidRPr="00AF2E61">
              <w:rPr>
                <w:rFonts w:ascii="Arial" w:hAnsi="Arial"/>
                <w:color w:val="000000"/>
                <w:szCs w:val="22"/>
              </w:rPr>
              <w:t>[</w:t>
            </w:r>
            <w:r w:rsidRPr="00AF2E61">
              <w:rPr>
                <w:rFonts w:ascii="Arial" w:hAnsi="Arial"/>
                <w:i/>
                <w:color w:val="000000"/>
                <w:szCs w:val="22"/>
              </w:rPr>
              <w:t xml:space="preserve">Insert a date no more than </w:t>
            </w:r>
            <w:r w:rsidR="00453ED0" w:rsidRPr="00AF2E61">
              <w:rPr>
                <w:rFonts w:ascii="Arial" w:hAnsi="Arial"/>
                <w:i/>
                <w:color w:val="000000"/>
                <w:szCs w:val="22"/>
              </w:rPr>
              <w:t>three</w:t>
            </w:r>
            <w:r w:rsidRPr="00AF2E61">
              <w:rPr>
                <w:rFonts w:ascii="Arial" w:hAnsi="Arial"/>
                <w:i/>
                <w:color w:val="000000"/>
                <w:szCs w:val="22"/>
              </w:rPr>
              <w:t xml:space="preserve"> months from the </w:t>
            </w:r>
            <w:r w:rsidR="000C23CA" w:rsidRPr="00AF2E61">
              <w:rPr>
                <w:rFonts w:ascii="Arial" w:hAnsi="Arial"/>
                <w:i/>
                <w:color w:val="000000"/>
                <w:szCs w:val="22"/>
              </w:rPr>
              <w:t>opening date</w:t>
            </w:r>
            <w:r w:rsidRPr="00AF2E61">
              <w:rPr>
                <w:rFonts w:ascii="Arial" w:hAnsi="Arial"/>
                <w:color w:val="000000"/>
                <w:szCs w:val="22"/>
              </w:rPr>
              <w:t xml:space="preserve">], </w:t>
            </w:r>
            <w:r>
              <w:rPr>
                <w:rFonts w:ascii="Arial" w:hAnsi="Arial"/>
                <w:szCs w:val="22"/>
              </w:rPr>
              <w:t>unless clo</w:t>
            </w:r>
            <w:r w:rsidR="00D66B90">
              <w:rPr>
                <w:rFonts w:ascii="Arial" w:hAnsi="Arial"/>
                <w:szCs w:val="22"/>
              </w:rPr>
              <w:t>sed earlier by the Intermediary</w:t>
            </w:r>
          </w:p>
        </w:tc>
      </w:tr>
    </w:tbl>
    <w:p w14:paraId="0DD99172" w14:textId="5CEE63EF" w:rsidR="000E550A" w:rsidRPr="00F01B20" w:rsidRDefault="00BE7E2E" w:rsidP="00CF3399">
      <w:pPr>
        <w:pStyle w:val="BodyText"/>
      </w:pPr>
      <w:r>
        <w:t>A description of t</w:t>
      </w:r>
      <w:r w:rsidR="000E550A" w:rsidRPr="00F01B20">
        <w:t xml:space="preserve">he rights </w:t>
      </w:r>
      <w:r w:rsidR="000C23CA">
        <w:t>associated with</w:t>
      </w:r>
      <w:r w:rsidR="000E550A" w:rsidRPr="00F01B20">
        <w:t xml:space="preserve"> the </w:t>
      </w:r>
      <w:r w:rsidR="00B12384">
        <w:t>s</w:t>
      </w:r>
      <w:r w:rsidR="000E550A" w:rsidRPr="00F01B20">
        <w:t xml:space="preserve">hares </w:t>
      </w:r>
      <w:r w:rsidR="00BE24E1">
        <w:t>is</w:t>
      </w:r>
      <w:r w:rsidR="000E550A" w:rsidRPr="00F01B20">
        <w:t xml:space="preserve"> set out in </w:t>
      </w:r>
      <w:r w:rsidR="00B159C1">
        <w:t>S</w:t>
      </w:r>
      <w:r w:rsidR="000E550A" w:rsidRPr="00F01B20">
        <w:t>ection 3.3 below. To participate in the Offer</w:t>
      </w:r>
      <w:r w:rsidR="000E550A">
        <w:t>,</w:t>
      </w:r>
      <w:r w:rsidR="000E550A" w:rsidRPr="00F01B20">
        <w:t xml:space="preserve"> you must submit a completed application form </w:t>
      </w:r>
      <w:r w:rsidR="000E550A">
        <w:t xml:space="preserve">together with the application money </w:t>
      </w:r>
      <w:r w:rsidR="000E550A" w:rsidRPr="00F01B20">
        <w:t>via the Intermediary</w:t>
      </w:r>
      <w:r w:rsidR="00C7359B">
        <w:t>’</w:t>
      </w:r>
      <w:r w:rsidR="000E550A" w:rsidRPr="00F01B20">
        <w:t>s platform</w:t>
      </w:r>
      <w:r w:rsidR="000E550A">
        <w:t>. The Intermediary</w:t>
      </w:r>
      <w:r w:rsidR="00C7359B">
        <w:t>’</w:t>
      </w:r>
      <w:r w:rsidR="000E550A">
        <w:t xml:space="preserve">s website provides instructions on how to apply for </w:t>
      </w:r>
      <w:r w:rsidR="00B12384">
        <w:t>s</w:t>
      </w:r>
      <w:r w:rsidR="000E550A">
        <w:t>hares under the Offer.</w:t>
      </w:r>
    </w:p>
    <w:p w14:paraId="0EE40543" w14:textId="79658527" w:rsidR="000E550A" w:rsidRPr="00F01B20" w:rsidRDefault="000E550A" w:rsidP="00CF3399">
      <w:pPr>
        <w:pStyle w:val="BodyText"/>
      </w:pPr>
      <w:r w:rsidRPr="00F01B20">
        <w:t xml:space="preserve">The Intermediary must close the Offer early in certain circumstances. For example, if the Maximum </w:t>
      </w:r>
      <w:r w:rsidR="00453ED0">
        <w:t>S</w:t>
      </w:r>
      <w:r w:rsidRPr="00F01B20">
        <w:t xml:space="preserve">ubscription is reached, the </w:t>
      </w:r>
      <w:r w:rsidR="00711652">
        <w:t>O</w:t>
      </w:r>
      <w:r w:rsidRPr="00F01B20">
        <w:t>ffer must be closed.</w:t>
      </w:r>
      <w:r w:rsidR="00BE7E2E">
        <w:t xml:space="preserve"> </w:t>
      </w:r>
      <w:r w:rsidRPr="00F01B20">
        <w:t xml:space="preserve">If the Minimum Subscription is not reached or the </w:t>
      </w:r>
      <w:r w:rsidR="00711652">
        <w:t>O</w:t>
      </w:r>
      <w:r w:rsidRPr="00F01B20">
        <w:t>ffer is closed but not completed, you will be refunded your application money.</w:t>
      </w:r>
    </w:p>
    <w:p w14:paraId="5CAA9F99" w14:textId="661279AA" w:rsidR="000E550A" w:rsidRPr="00F01B20" w:rsidRDefault="000E550A" w:rsidP="00CF3399">
      <w:pPr>
        <w:pStyle w:val="BodyText"/>
      </w:pPr>
      <w:r w:rsidRPr="00F01B20">
        <w:t>Investors may withdraw their application during the Cooling-</w:t>
      </w:r>
      <w:r w:rsidR="00453ED0">
        <w:t>o</w:t>
      </w:r>
      <w:r w:rsidRPr="00F01B20">
        <w:t xml:space="preserve">ff Period. Further information on </w:t>
      </w:r>
      <w:r>
        <w:t xml:space="preserve">investor </w:t>
      </w:r>
      <w:r w:rsidRPr="00F01B20">
        <w:t xml:space="preserve">cooling-off rights can be found in </w:t>
      </w:r>
      <w:r w:rsidR="00B159C1">
        <w:t>S</w:t>
      </w:r>
      <w:r w:rsidRPr="00F01B20">
        <w:t xml:space="preserve">ection 4 of this </w:t>
      </w:r>
      <w:r w:rsidR="001450BD">
        <w:t xml:space="preserve">CSF </w:t>
      </w:r>
      <w:r w:rsidRPr="00F01B20">
        <w:t>offer document.</w:t>
      </w:r>
    </w:p>
    <w:p w14:paraId="18B99CA2" w14:textId="77777777" w:rsidR="000E550A" w:rsidRDefault="000E550A" w:rsidP="00CF3399">
      <w:pPr>
        <w:pStyle w:val="BodyText"/>
      </w:pPr>
      <w:r w:rsidRPr="00F01B20">
        <w:t>The Offer is not underwritten.</w:t>
      </w:r>
    </w:p>
    <w:p w14:paraId="23BAA37B" w14:textId="77777777" w:rsidR="000E550A" w:rsidRPr="004A5BB3" w:rsidRDefault="000E550A" w:rsidP="00C7359B">
      <w:pPr>
        <w:pStyle w:val="Heading2"/>
      </w:pPr>
      <w:bookmarkStart w:id="36" w:name="_Toc526771237"/>
      <w:r w:rsidRPr="000C3A0B">
        <w:lastRenderedPageBreak/>
        <w:t xml:space="preserve">Use of </w:t>
      </w:r>
      <w:r w:rsidR="00453ED0" w:rsidRPr="004A5BB3">
        <w:t>f</w:t>
      </w:r>
      <w:r w:rsidRPr="004A5BB3">
        <w:t>unds</w:t>
      </w:r>
      <w:bookmarkEnd w:id="36"/>
    </w:p>
    <w:p w14:paraId="4A1E7B1A" w14:textId="0973476E" w:rsidR="000E550A" w:rsidRDefault="00DF5A08" w:rsidP="00C7359B">
      <w:pPr>
        <w:pStyle w:val="Templatecommentarytext"/>
        <w:keepNext/>
      </w:pPr>
      <w:r>
        <w:t>Describe</w:t>
      </w:r>
      <w:r w:rsidR="000E550A" w:rsidRPr="00EE434A">
        <w:t xml:space="preserve"> how you intend to use the funds raised under the </w:t>
      </w:r>
      <w:r w:rsidR="00711652">
        <w:t xml:space="preserve">CSF </w:t>
      </w:r>
      <w:r w:rsidR="000E550A" w:rsidRPr="00EE434A">
        <w:t>offer (</w:t>
      </w:r>
      <w:r w:rsidR="00BE7E2E">
        <w:t xml:space="preserve">including funds </w:t>
      </w:r>
      <w:r w:rsidR="00CB4AFF">
        <w:t xml:space="preserve">raised </w:t>
      </w:r>
      <w:r w:rsidR="00BE7E2E">
        <w:t>i</w:t>
      </w:r>
      <w:r w:rsidR="000E550A" w:rsidRPr="00EE434A">
        <w:t>n</w:t>
      </w:r>
      <w:r w:rsidR="00BE7E2E">
        <w:t xml:space="preserve"> excess of the</w:t>
      </w:r>
      <w:r w:rsidR="000E550A" w:rsidRPr="00EE434A">
        <w:t xml:space="preserve"> minimum subscription amount), </w:t>
      </w:r>
      <w:r w:rsidR="00490506">
        <w:t xml:space="preserve">and </w:t>
      </w:r>
      <w:r w:rsidR="000E550A" w:rsidRPr="00EE434A">
        <w:t>include a breakdown of how much will be applied to each purpose.</w:t>
      </w:r>
    </w:p>
    <w:p w14:paraId="0E6570FC" w14:textId="77777777" w:rsidR="00DF5A08" w:rsidRDefault="00822F41" w:rsidP="00C7359B">
      <w:pPr>
        <w:pStyle w:val="Templatecommentarytext"/>
        <w:keepNext/>
      </w:pPr>
      <w:r>
        <w:t xml:space="preserve">Provide details of </w:t>
      </w:r>
      <w:r w:rsidR="00DF5A08">
        <w:t>whether any of the funds raised will be paid (directly or indirectly) to:</w:t>
      </w:r>
    </w:p>
    <w:p w14:paraId="64AC3389" w14:textId="77777777" w:rsidR="00DF5A08" w:rsidRDefault="007649E7" w:rsidP="00C7359B">
      <w:pPr>
        <w:pStyle w:val="Templatecommentarylist"/>
        <w:keepNext/>
      </w:pPr>
      <w:r>
        <w:t xml:space="preserve">any </w:t>
      </w:r>
      <w:r w:rsidR="00DF5A08">
        <w:t>current or proposed directors or senior managers</w:t>
      </w:r>
      <w:r>
        <w:t xml:space="preserve"> of your company</w:t>
      </w:r>
    </w:p>
    <w:p w14:paraId="3D41ED41" w14:textId="77777777" w:rsidR="00DF5A08" w:rsidRDefault="00DF5A08" w:rsidP="00C7359B">
      <w:pPr>
        <w:pStyle w:val="Templatecommentarylist"/>
        <w:keepNext/>
      </w:pPr>
      <w:r>
        <w:t xml:space="preserve">any related parties of </w:t>
      </w:r>
      <w:r w:rsidR="00C83871">
        <w:t xml:space="preserve">your </w:t>
      </w:r>
      <w:r>
        <w:t>company</w:t>
      </w:r>
    </w:p>
    <w:p w14:paraId="2537B254" w14:textId="3EF9C42E" w:rsidR="00DF5A08" w:rsidRDefault="00DF5A08" w:rsidP="00C7359B">
      <w:pPr>
        <w:pStyle w:val="Templatecommentarylist"/>
        <w:keepNext/>
      </w:pPr>
      <w:r>
        <w:t xml:space="preserve">any person that </w:t>
      </w:r>
      <w:r w:rsidR="00C7359B">
        <w:t>‘</w:t>
      </w:r>
      <w:r>
        <w:t>controls</w:t>
      </w:r>
      <w:r w:rsidR="00C7359B">
        <w:t>’</w:t>
      </w:r>
      <w:r>
        <w:t xml:space="preserve"> your company or persons who hold more that 20% of the voting rights in the company (e.g. controlling or major shareholders)</w:t>
      </w:r>
    </w:p>
    <w:p w14:paraId="64C10094" w14:textId="721A6ADC" w:rsidR="00DF5A08" w:rsidRDefault="00DF5A08" w:rsidP="00C7359B">
      <w:pPr>
        <w:pStyle w:val="Templatecommentarylist"/>
        <w:keepNext/>
      </w:pPr>
      <w:r>
        <w:t xml:space="preserve">the CSF intermediary publishing the CSF offer </w:t>
      </w:r>
      <w:r w:rsidRPr="00490506">
        <w:t>or any of the intermediary</w:t>
      </w:r>
      <w:r w:rsidR="00C7359B">
        <w:t>’</w:t>
      </w:r>
      <w:r w:rsidRPr="00490506">
        <w:t>s related parties</w:t>
      </w:r>
    </w:p>
    <w:p w14:paraId="5B401338" w14:textId="77777777" w:rsidR="00DF5A08" w:rsidRPr="00EE434A" w:rsidRDefault="00DF5A08" w:rsidP="00C7359B">
      <w:pPr>
        <w:pStyle w:val="Templatecommentarylist"/>
        <w:keepNext/>
      </w:pPr>
      <w:r>
        <w:t>any person promoting or marketing the CSF offer.</w:t>
      </w:r>
    </w:p>
    <w:p w14:paraId="442E22EF" w14:textId="2692849C" w:rsidR="000E550A" w:rsidRDefault="000E550A" w:rsidP="00C7359B">
      <w:pPr>
        <w:pStyle w:val="Templatecommentarytext"/>
        <w:keepNext/>
      </w:pPr>
      <w:r>
        <w:t xml:space="preserve">See </w:t>
      </w:r>
      <w:r w:rsidRPr="00521219">
        <w:t>Table 1</w:t>
      </w:r>
      <w:r w:rsidR="000C23CA" w:rsidRPr="00521219">
        <w:t>9</w:t>
      </w:r>
      <w:r w:rsidRPr="00521219">
        <w:t xml:space="preserve"> in </w:t>
      </w:r>
      <w:hyperlink r:id="rId28" w:history="1">
        <w:r w:rsidRPr="00E65C3D">
          <w:rPr>
            <w:rStyle w:val="Hyperlink"/>
          </w:rPr>
          <w:t xml:space="preserve">RG </w:t>
        </w:r>
        <w:r w:rsidR="001013EB" w:rsidRPr="00E65C3D">
          <w:rPr>
            <w:rStyle w:val="Hyperlink"/>
          </w:rPr>
          <w:t>261</w:t>
        </w:r>
      </w:hyperlink>
      <w:r>
        <w:t xml:space="preserve"> for further guidance.</w:t>
      </w:r>
      <w:r w:rsidR="00A31257" w:rsidRPr="00A31257">
        <w:t xml:space="preserve"> </w:t>
      </w:r>
      <w:r w:rsidR="00DF5A08">
        <w:t xml:space="preserve">An </w:t>
      </w:r>
      <w:r w:rsidR="00A31257" w:rsidRPr="00EE434A">
        <w:t xml:space="preserve">illustrative </w:t>
      </w:r>
      <w:r w:rsidR="00DF5A08">
        <w:t>example is provided below</w:t>
      </w:r>
      <w:r w:rsidR="00A31257" w:rsidRPr="00EE434A">
        <w:t>.</w:t>
      </w:r>
    </w:p>
    <w:p w14:paraId="38FF11A0" w14:textId="0FDD657B" w:rsidR="000E550A" w:rsidRDefault="000E550A" w:rsidP="00CF3399">
      <w:pPr>
        <w:pStyle w:val="BodyText"/>
      </w:pPr>
      <w:r w:rsidRPr="00F01B20">
        <w:t xml:space="preserve">Table </w:t>
      </w:r>
      <w:r w:rsidR="0052669F">
        <w:t>5</w:t>
      </w:r>
      <w:r w:rsidR="00453ED0">
        <w:t xml:space="preserve"> </w:t>
      </w:r>
      <w:r w:rsidRPr="00902AC5">
        <w:t>below</w:t>
      </w:r>
      <w:r w:rsidRPr="00F01B20">
        <w:t xml:space="preserve"> sets out the intended use of funds</w:t>
      </w:r>
      <w:r>
        <w:t xml:space="preserve"> raised under this Offer</w:t>
      </w:r>
      <w:r w:rsidRPr="00F01B20">
        <w:t xml:space="preserve"> </w:t>
      </w:r>
      <w:r>
        <w:t>based on the minimum and maximum subscription amounts.</w:t>
      </w:r>
    </w:p>
    <w:p w14:paraId="2C54090F" w14:textId="77777777" w:rsidR="00046361" w:rsidRPr="006B2552" w:rsidRDefault="00046361" w:rsidP="001D12B1">
      <w:pPr>
        <w:pStyle w:val="Tablefiguretitle"/>
      </w:pPr>
      <w:r w:rsidRPr="006B2552">
        <w:t xml:space="preserve">Table </w:t>
      </w:r>
      <w:r w:rsidR="0052669F">
        <w:t>5</w:t>
      </w:r>
      <w:r w:rsidRPr="006B2552">
        <w:t>: Use of funds</w:t>
      </w:r>
    </w:p>
    <w:tbl>
      <w:tblPr>
        <w:tblW w:w="907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977"/>
        <w:gridCol w:w="1523"/>
        <w:gridCol w:w="1524"/>
        <w:gridCol w:w="1524"/>
        <w:gridCol w:w="1524"/>
      </w:tblGrid>
      <w:tr w:rsidR="00470107" w:rsidRPr="00453ED0" w14:paraId="01E3E10D" w14:textId="77777777" w:rsidTr="00FF46CD">
        <w:trPr>
          <w:cantSplit/>
          <w:trHeight w:val="892"/>
          <w:tblHeader/>
        </w:trPr>
        <w:tc>
          <w:tcPr>
            <w:tcW w:w="2977" w:type="dxa"/>
            <w:shd w:val="clear" w:color="auto" w:fill="DBE5F1"/>
          </w:tcPr>
          <w:p w14:paraId="2EEC4770" w14:textId="77777777" w:rsidR="00D2172D" w:rsidRPr="00AF2E61" w:rsidRDefault="00D2172D" w:rsidP="004011F4">
            <w:pPr>
              <w:keepNext/>
              <w:spacing w:before="120" w:after="120"/>
              <w:rPr>
                <w:rFonts w:ascii="Arial" w:hAnsi="Arial" w:cs="Arial"/>
                <w:b/>
                <w:color w:val="000000"/>
                <w:szCs w:val="22"/>
              </w:rPr>
            </w:pPr>
            <w:bookmarkStart w:id="37" w:name="ColumnTitle_Table4" w:colFirst="0" w:colLast="4"/>
            <w:r w:rsidRPr="00AF2E61">
              <w:rPr>
                <w:rFonts w:ascii="Arial" w:hAnsi="Arial" w:cs="Arial"/>
                <w:b/>
                <w:color w:val="000000"/>
                <w:szCs w:val="22"/>
              </w:rPr>
              <w:t>Intended use</w:t>
            </w:r>
          </w:p>
        </w:tc>
        <w:tc>
          <w:tcPr>
            <w:tcW w:w="1523" w:type="dxa"/>
            <w:shd w:val="clear" w:color="auto" w:fill="DBE5F1"/>
            <w:vAlign w:val="center"/>
          </w:tcPr>
          <w:p w14:paraId="397D5600"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1: Minimum Subscription</w:t>
            </w:r>
          </w:p>
        </w:tc>
        <w:tc>
          <w:tcPr>
            <w:tcW w:w="1524" w:type="dxa"/>
            <w:shd w:val="clear" w:color="auto" w:fill="DBE5F1"/>
            <w:vAlign w:val="center"/>
          </w:tcPr>
          <w:p w14:paraId="18590E53"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1: Maximum Subscription</w:t>
            </w:r>
          </w:p>
        </w:tc>
        <w:tc>
          <w:tcPr>
            <w:tcW w:w="1524" w:type="dxa"/>
            <w:shd w:val="clear" w:color="auto" w:fill="DBE5F1"/>
            <w:vAlign w:val="center"/>
          </w:tcPr>
          <w:p w14:paraId="2B875534"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2: Minimum Subscription</w:t>
            </w:r>
          </w:p>
        </w:tc>
        <w:tc>
          <w:tcPr>
            <w:tcW w:w="1524" w:type="dxa"/>
            <w:shd w:val="clear" w:color="auto" w:fill="DBE5F1"/>
            <w:vAlign w:val="center"/>
          </w:tcPr>
          <w:p w14:paraId="01DC7793"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2: Maximum Subscription</w:t>
            </w:r>
          </w:p>
        </w:tc>
      </w:tr>
      <w:bookmarkEnd w:id="37"/>
      <w:tr w:rsidR="000864A5" w:rsidRPr="00453ED0" w14:paraId="7E131A0F" w14:textId="77777777" w:rsidTr="00FF46CD">
        <w:trPr>
          <w:cantSplit/>
        </w:trPr>
        <w:tc>
          <w:tcPr>
            <w:tcW w:w="2977" w:type="dxa"/>
            <w:vAlign w:val="center"/>
          </w:tcPr>
          <w:p w14:paraId="1E3D6E5E"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Research and development</w:t>
            </w:r>
          </w:p>
        </w:tc>
        <w:tc>
          <w:tcPr>
            <w:tcW w:w="1523" w:type="dxa"/>
            <w:vAlign w:val="center"/>
          </w:tcPr>
          <w:p w14:paraId="35BFD0EE" w14:textId="1835C479"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sidRPr="00AF2E61">
              <w:rPr>
                <w:rFonts w:ascii="Arial" w:hAnsi="Arial" w:cs="Arial"/>
                <w:color w:val="000000"/>
                <w:szCs w:val="22"/>
              </w:rPr>
              <w:t>2</w:t>
            </w:r>
            <w:r w:rsidR="00E24D5D">
              <w:rPr>
                <w:rFonts w:ascii="Arial" w:hAnsi="Arial" w:cs="Arial"/>
                <w:color w:val="000000"/>
                <w:szCs w:val="22"/>
              </w:rPr>
              <w:t>3</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1ABF02EB" w14:textId="059EF255"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2</w:t>
            </w:r>
            <w:r w:rsidR="00E24D5D">
              <w:rPr>
                <w:rFonts w:ascii="Arial" w:hAnsi="Arial" w:cs="Arial"/>
                <w:color w:val="000000"/>
                <w:szCs w:val="22"/>
              </w:rPr>
              <w:t>8</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2CDFBDA6"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$50,000</w:t>
            </w:r>
          </w:p>
        </w:tc>
        <w:tc>
          <w:tcPr>
            <w:tcW w:w="1524" w:type="dxa"/>
            <w:vAlign w:val="center"/>
          </w:tcPr>
          <w:p w14:paraId="1E7B5FB3"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$150,000</w:t>
            </w:r>
          </w:p>
        </w:tc>
      </w:tr>
      <w:tr w:rsidR="000864A5" w:rsidRPr="00453ED0" w14:paraId="76F77F58" w14:textId="77777777" w:rsidTr="00FF46CD">
        <w:trPr>
          <w:cantSplit/>
        </w:trPr>
        <w:tc>
          <w:tcPr>
            <w:tcW w:w="2977" w:type="dxa"/>
            <w:vAlign w:val="center"/>
          </w:tcPr>
          <w:p w14:paraId="3DDBAEF4"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Regulatory approvals</w:t>
            </w:r>
          </w:p>
        </w:tc>
        <w:tc>
          <w:tcPr>
            <w:tcW w:w="1523" w:type="dxa"/>
            <w:vAlign w:val="center"/>
          </w:tcPr>
          <w:p w14:paraId="2FD3AA12" w14:textId="3DC353D6"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10</w:t>
            </w:r>
            <w:r w:rsidRPr="00AF2E61">
              <w:rPr>
                <w:rFonts w:ascii="Arial" w:hAnsi="Arial" w:cs="Arial"/>
                <w:color w:val="000000"/>
                <w:szCs w:val="22"/>
              </w:rPr>
              <w:t>,000</w:t>
            </w:r>
          </w:p>
        </w:tc>
        <w:tc>
          <w:tcPr>
            <w:tcW w:w="1524" w:type="dxa"/>
            <w:vAlign w:val="center"/>
          </w:tcPr>
          <w:p w14:paraId="66304FCD" w14:textId="47A6D5BD" w:rsidR="00D2172D" w:rsidRPr="00AF2E61" w:rsidRDefault="00D2172D" w:rsidP="005C248F">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10</w:t>
            </w:r>
            <w:r w:rsidRPr="00AF2E61">
              <w:rPr>
                <w:rFonts w:ascii="Arial" w:hAnsi="Arial" w:cs="Arial"/>
                <w:color w:val="000000"/>
                <w:szCs w:val="22"/>
              </w:rPr>
              <w:t>,000</w:t>
            </w:r>
          </w:p>
        </w:tc>
        <w:tc>
          <w:tcPr>
            <w:tcW w:w="1524" w:type="dxa"/>
            <w:vAlign w:val="center"/>
          </w:tcPr>
          <w:p w14:paraId="66724E73"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A388FF5"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r>
      <w:tr w:rsidR="000864A5" w:rsidRPr="00453ED0" w14:paraId="38BB0DD0" w14:textId="77777777" w:rsidTr="00FF46CD">
        <w:trPr>
          <w:cantSplit/>
        </w:trPr>
        <w:tc>
          <w:tcPr>
            <w:tcW w:w="2977" w:type="dxa"/>
            <w:vAlign w:val="center"/>
          </w:tcPr>
          <w:p w14:paraId="0FDD4EE7"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Sales and marketing</w:t>
            </w:r>
          </w:p>
        </w:tc>
        <w:tc>
          <w:tcPr>
            <w:tcW w:w="1523" w:type="dxa"/>
            <w:vAlign w:val="center"/>
          </w:tcPr>
          <w:p w14:paraId="3828B82E"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0D2E8266"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C4D33AF" w14:textId="77777777" w:rsidR="00D2172D" w:rsidRPr="00AF2E61" w:rsidRDefault="00494A00">
            <w:pPr>
              <w:spacing w:before="120" w:after="120"/>
              <w:jc w:val="right"/>
              <w:rPr>
                <w:rFonts w:ascii="Arial" w:hAnsi="Arial" w:cs="Arial"/>
                <w:color w:val="000000"/>
                <w:szCs w:val="22"/>
              </w:rPr>
            </w:pPr>
            <w:r w:rsidRPr="00AF2E61">
              <w:rPr>
                <w:rFonts w:ascii="Arial" w:hAnsi="Arial" w:cs="Arial"/>
                <w:color w:val="000000"/>
                <w:szCs w:val="22"/>
              </w:rPr>
              <w:t>$5,000</w:t>
            </w:r>
          </w:p>
        </w:tc>
        <w:tc>
          <w:tcPr>
            <w:tcW w:w="1524" w:type="dxa"/>
            <w:vAlign w:val="center"/>
          </w:tcPr>
          <w:p w14:paraId="48C495FE"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$30,000</w:t>
            </w:r>
          </w:p>
        </w:tc>
      </w:tr>
      <w:tr w:rsidR="000864A5" w:rsidRPr="00453ED0" w14:paraId="636703D7" w14:textId="77777777" w:rsidTr="00FF46CD">
        <w:trPr>
          <w:cantSplit/>
        </w:trPr>
        <w:tc>
          <w:tcPr>
            <w:tcW w:w="2977" w:type="dxa"/>
            <w:vAlign w:val="center"/>
          </w:tcPr>
          <w:p w14:paraId="7B0DA48C" w14:textId="77777777" w:rsidR="00D2172D" w:rsidRPr="00AF2E61" w:rsidRDefault="00D2172D" w:rsidP="00453ED0">
            <w:pPr>
              <w:spacing w:before="120" w:after="120"/>
              <w:rPr>
                <w:rFonts w:ascii="Arial" w:hAnsi="Arial" w:cs="Arial"/>
                <w:color w:val="000000"/>
                <w:szCs w:val="22"/>
              </w:rPr>
            </w:pPr>
            <w:r w:rsidRPr="00AF2E61">
              <w:rPr>
                <w:rFonts w:ascii="Arial" w:hAnsi="Arial" w:cs="Arial"/>
                <w:color w:val="000000"/>
                <w:szCs w:val="22"/>
              </w:rPr>
              <w:t>Production</w:t>
            </w:r>
          </w:p>
        </w:tc>
        <w:tc>
          <w:tcPr>
            <w:tcW w:w="1523" w:type="dxa"/>
            <w:vAlign w:val="center"/>
          </w:tcPr>
          <w:p w14:paraId="556E93B5"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0E25628B"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B423587" w14:textId="77777777" w:rsidR="00D2172D" w:rsidRPr="00AF2E61" w:rsidRDefault="00494A00">
            <w:pPr>
              <w:spacing w:before="120" w:after="120"/>
              <w:jc w:val="right"/>
              <w:rPr>
                <w:rFonts w:ascii="Arial" w:hAnsi="Arial" w:cs="Arial"/>
                <w:color w:val="000000"/>
                <w:szCs w:val="22"/>
              </w:rPr>
            </w:pPr>
            <w:r w:rsidRPr="00AF2E61">
              <w:rPr>
                <w:rFonts w:ascii="Arial" w:hAnsi="Arial" w:cs="Arial"/>
                <w:color w:val="000000"/>
                <w:szCs w:val="22"/>
              </w:rPr>
              <w:t>$5,000</w:t>
            </w:r>
          </w:p>
        </w:tc>
        <w:tc>
          <w:tcPr>
            <w:tcW w:w="1524" w:type="dxa"/>
            <w:vAlign w:val="center"/>
          </w:tcPr>
          <w:p w14:paraId="460C5D60"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$140,000</w:t>
            </w:r>
          </w:p>
        </w:tc>
      </w:tr>
      <w:tr w:rsidR="000864A5" w:rsidRPr="00453ED0" w14:paraId="141F8F19" w14:textId="77777777" w:rsidTr="00FF46CD">
        <w:trPr>
          <w:cantSplit/>
        </w:trPr>
        <w:tc>
          <w:tcPr>
            <w:tcW w:w="2977" w:type="dxa"/>
            <w:vAlign w:val="center"/>
          </w:tcPr>
          <w:p w14:paraId="020B3264"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Working capital</w:t>
            </w:r>
          </w:p>
        </w:tc>
        <w:tc>
          <w:tcPr>
            <w:tcW w:w="1523" w:type="dxa"/>
            <w:vAlign w:val="center"/>
          </w:tcPr>
          <w:p w14:paraId="0298CD4B"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$120,000</w:t>
            </w:r>
          </w:p>
        </w:tc>
        <w:tc>
          <w:tcPr>
            <w:tcW w:w="1524" w:type="dxa"/>
            <w:vAlign w:val="center"/>
          </w:tcPr>
          <w:p w14:paraId="3B087B1C"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$150,000</w:t>
            </w:r>
          </w:p>
        </w:tc>
        <w:tc>
          <w:tcPr>
            <w:tcW w:w="1524" w:type="dxa"/>
            <w:vAlign w:val="center"/>
          </w:tcPr>
          <w:p w14:paraId="4F67A8DF"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$40,000</w:t>
            </w:r>
          </w:p>
        </w:tc>
        <w:tc>
          <w:tcPr>
            <w:tcW w:w="1524" w:type="dxa"/>
            <w:vAlign w:val="center"/>
          </w:tcPr>
          <w:p w14:paraId="56C6650D"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$200,000</w:t>
            </w:r>
          </w:p>
        </w:tc>
      </w:tr>
      <w:tr w:rsidR="000864A5" w:rsidRPr="00453ED0" w14:paraId="35B2EF74" w14:textId="77777777" w:rsidTr="00FF46CD">
        <w:trPr>
          <w:cantSplit/>
        </w:trPr>
        <w:tc>
          <w:tcPr>
            <w:tcW w:w="2977" w:type="dxa"/>
            <w:vAlign w:val="center"/>
          </w:tcPr>
          <w:p w14:paraId="19C170BA"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Offer costs</w:t>
            </w:r>
          </w:p>
        </w:tc>
        <w:tc>
          <w:tcPr>
            <w:tcW w:w="1523" w:type="dxa"/>
            <w:vAlign w:val="center"/>
          </w:tcPr>
          <w:p w14:paraId="2D0E3D5A" w14:textId="0D9DFDC1"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E24D5D">
              <w:rPr>
                <w:rFonts w:ascii="Arial" w:hAnsi="Arial" w:cs="Arial"/>
                <w:color w:val="000000"/>
                <w:szCs w:val="22"/>
              </w:rPr>
              <w:t>4</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16547EDD" w14:textId="1454B6F0" w:rsidR="00D2172D" w:rsidRPr="00AF2E61" w:rsidRDefault="00D2172D" w:rsidP="005C248F">
            <w:pPr>
              <w:spacing w:before="120" w:after="120"/>
              <w:jc w:val="right"/>
              <w:rPr>
                <w:rFonts w:ascii="Arial" w:hAnsi="Arial" w:cs="Arial"/>
                <w:color w:val="000000"/>
                <w:szCs w:val="22"/>
              </w:rPr>
            </w:pPr>
            <w:r w:rsidRPr="00AF2E61">
              <w:rPr>
                <w:rFonts w:ascii="Arial" w:hAnsi="Arial" w:cs="Arial"/>
                <w:color w:val="000000"/>
                <w:szCs w:val="22"/>
              </w:rPr>
              <w:t>$</w:t>
            </w:r>
            <w:r w:rsidR="00E24D5D">
              <w:rPr>
                <w:rFonts w:ascii="Arial" w:hAnsi="Arial" w:cs="Arial"/>
                <w:color w:val="000000"/>
                <w:szCs w:val="22"/>
              </w:rPr>
              <w:t>4</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42939D9B" w14:textId="77777777" w:rsidR="00D2172D" w:rsidRPr="00AF2E61" w:rsidRDefault="00494A00"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34121B6D"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r>
      <w:tr w:rsidR="000864A5" w:rsidRPr="00453ED0" w14:paraId="2102C24B" w14:textId="77777777" w:rsidTr="00FF46CD">
        <w:trPr>
          <w:cantSplit/>
        </w:trPr>
        <w:tc>
          <w:tcPr>
            <w:tcW w:w="2977" w:type="dxa"/>
            <w:vAlign w:val="center"/>
          </w:tcPr>
          <w:p w14:paraId="2C98FA3A" w14:textId="77777777" w:rsidR="00D2172D" w:rsidRPr="00AF2E61" w:rsidRDefault="00D2172D" w:rsidP="00E121AA">
            <w:pPr>
              <w:spacing w:before="120" w:after="120"/>
              <w:rPr>
                <w:rFonts w:ascii="Arial" w:hAnsi="Arial" w:cs="Arial"/>
                <w:b/>
                <w:color w:val="000000"/>
                <w:szCs w:val="22"/>
              </w:rPr>
            </w:pPr>
            <w:r w:rsidRPr="00AF2E61">
              <w:rPr>
                <w:rFonts w:ascii="Arial" w:hAnsi="Arial" w:cs="Arial"/>
                <w:b/>
                <w:color w:val="000000"/>
                <w:szCs w:val="22"/>
              </w:rPr>
              <w:t>Total funds</w:t>
            </w:r>
          </w:p>
        </w:tc>
        <w:tc>
          <w:tcPr>
            <w:tcW w:w="1523" w:type="dxa"/>
            <w:vAlign w:val="center"/>
          </w:tcPr>
          <w:p w14:paraId="03C448AF"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$400,000</w:t>
            </w:r>
          </w:p>
        </w:tc>
        <w:tc>
          <w:tcPr>
            <w:tcW w:w="1524" w:type="dxa"/>
            <w:vAlign w:val="center"/>
          </w:tcPr>
          <w:p w14:paraId="1C250B3D"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$480,000</w:t>
            </w:r>
          </w:p>
        </w:tc>
        <w:tc>
          <w:tcPr>
            <w:tcW w:w="1524" w:type="dxa"/>
            <w:vAlign w:val="center"/>
          </w:tcPr>
          <w:p w14:paraId="542CD656"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$100,000</w:t>
            </w:r>
          </w:p>
        </w:tc>
        <w:tc>
          <w:tcPr>
            <w:tcW w:w="1524" w:type="dxa"/>
            <w:vAlign w:val="center"/>
          </w:tcPr>
          <w:p w14:paraId="57277D67"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$520,000</w:t>
            </w:r>
          </w:p>
        </w:tc>
      </w:tr>
    </w:tbl>
    <w:p w14:paraId="01E483FA" w14:textId="0C321D7C" w:rsidR="000E550A" w:rsidRDefault="000E550A" w:rsidP="000864A5">
      <w:pPr>
        <w:pStyle w:val="BodyText"/>
        <w:keepNext/>
      </w:pPr>
      <w:r>
        <w:t xml:space="preserve">In </w:t>
      </w:r>
      <w:r w:rsidR="00E121AA">
        <w:t>T</w:t>
      </w:r>
      <w:r>
        <w:t>able</w:t>
      </w:r>
      <w:r w:rsidR="00E121AA">
        <w:t xml:space="preserve"> </w:t>
      </w:r>
      <w:r w:rsidR="00494A00">
        <w:t>5</w:t>
      </w:r>
      <w:r>
        <w:t xml:space="preserve">, </w:t>
      </w:r>
      <w:r w:rsidR="00C7359B">
        <w:t>‘</w:t>
      </w:r>
      <w:r w:rsidR="00E121AA">
        <w:t>w</w:t>
      </w:r>
      <w:r w:rsidRPr="00AF3399">
        <w:t xml:space="preserve">orking </w:t>
      </w:r>
      <w:r w:rsidR="00E121AA">
        <w:t>c</w:t>
      </w:r>
      <w:r w:rsidRPr="00AF3399">
        <w:t>apital</w:t>
      </w:r>
      <w:r w:rsidR="00C7359B">
        <w:t>’</w:t>
      </w:r>
      <w:r w:rsidRPr="00AF3399">
        <w:t xml:space="preserve"> includes</w:t>
      </w:r>
      <w:r>
        <w:t xml:space="preserve"> overhead expenses, employee wages and director remuneration. Details of payments to be made to directors and senior managers are itemised below:</w:t>
      </w:r>
    </w:p>
    <w:p w14:paraId="36A7C14C" w14:textId="4FE733BD" w:rsidR="000E550A" w:rsidRDefault="00C91966" w:rsidP="00174BEA">
      <w:pPr>
        <w:pStyle w:val="Bodytextbullet"/>
      </w:pPr>
      <w:r>
        <w:t>directors</w:t>
      </w:r>
      <w:r w:rsidR="00C7359B">
        <w:t>’</w:t>
      </w:r>
      <w:r w:rsidR="000E550A">
        <w:t xml:space="preserve"> remuneration: $</w:t>
      </w:r>
      <w:r w:rsidR="000E550A" w:rsidRPr="00F75BB5">
        <w:t>[</w:t>
      </w:r>
      <w:r w:rsidR="000E550A" w:rsidRPr="00F75BB5">
        <w:rPr>
          <w:i/>
        </w:rPr>
        <w:t>insert</w:t>
      </w:r>
      <w:r w:rsidR="000E550A" w:rsidRPr="00F75BB5">
        <w:t>]</w:t>
      </w:r>
    </w:p>
    <w:p w14:paraId="5CAF5248" w14:textId="77777777" w:rsidR="000E550A" w:rsidRDefault="00904E6A" w:rsidP="00174BEA">
      <w:pPr>
        <w:pStyle w:val="Bodytextbullet"/>
      </w:pPr>
      <w:r>
        <w:t>s</w:t>
      </w:r>
      <w:r w:rsidR="000E550A" w:rsidRPr="00CF3BB9">
        <w:t xml:space="preserve">enior </w:t>
      </w:r>
      <w:r w:rsidR="00E121AA">
        <w:t>m</w:t>
      </w:r>
      <w:r w:rsidR="000E550A" w:rsidRPr="00CF3BB9">
        <w:t xml:space="preserve">anager remuneration: </w:t>
      </w:r>
      <w:r w:rsidR="000E550A">
        <w:t>$</w:t>
      </w:r>
      <w:r w:rsidR="000E550A" w:rsidRPr="00F75BB5">
        <w:t>[</w:t>
      </w:r>
      <w:r w:rsidR="000E550A" w:rsidRPr="00FA6A14">
        <w:rPr>
          <w:i/>
        </w:rPr>
        <w:t>insert</w:t>
      </w:r>
      <w:r w:rsidR="000E550A" w:rsidRPr="00F75BB5">
        <w:t>]</w:t>
      </w:r>
      <w:r>
        <w:t>.</w:t>
      </w:r>
    </w:p>
    <w:p w14:paraId="4CF4848C" w14:textId="1196F27C" w:rsidR="000E550A" w:rsidRPr="00FF46CD" w:rsidRDefault="000E550A" w:rsidP="00CF3399">
      <w:pPr>
        <w:pStyle w:val="BodyText"/>
        <w:rPr>
          <w:color w:val="auto"/>
        </w:rPr>
      </w:pPr>
      <w:r>
        <w:t>The costs of the Offer include the Intermediary</w:t>
      </w:r>
      <w:r w:rsidR="00C7359B">
        <w:t>’</w:t>
      </w:r>
      <w:r>
        <w:t>s fees under the hosting agreement between the Company and the Intermediary. These fees are $</w:t>
      </w:r>
      <w:r w:rsidRPr="00F75BB5">
        <w:t>[</w:t>
      </w:r>
      <w:r w:rsidRPr="00F75BB5">
        <w:rPr>
          <w:i/>
        </w:rPr>
        <w:t>insert</w:t>
      </w:r>
      <w:r w:rsidRPr="00F75BB5">
        <w:t>]</w:t>
      </w:r>
      <w:r w:rsidRPr="00AF2E61">
        <w:rPr>
          <w:color w:val="244061"/>
        </w:rPr>
        <w:t>.</w:t>
      </w:r>
    </w:p>
    <w:p w14:paraId="5B8DDA61" w14:textId="77777777" w:rsidR="000E550A" w:rsidRPr="00CF3BB9" w:rsidRDefault="000E550A" w:rsidP="00CF3399">
      <w:pPr>
        <w:pStyle w:val="BodyText"/>
      </w:pPr>
      <w:r w:rsidRPr="00CF3BB9">
        <w:lastRenderedPageBreak/>
        <w:t>Other than as specified above, no other payments from the funds raised will be paid (directly or indirectly) to related parties, controlling shareholders, or any other persons involved in promoting or marketing the Offer.</w:t>
      </w:r>
    </w:p>
    <w:p w14:paraId="6BFFAE2D" w14:textId="673C9D48" w:rsidR="000E550A" w:rsidRDefault="006259A4" w:rsidP="00CF3399">
      <w:pPr>
        <w:pStyle w:val="BodyText"/>
      </w:pPr>
      <w:r>
        <w:t>We</w:t>
      </w:r>
      <w:r w:rsidR="000E550A">
        <w:t xml:space="preserve"> expect that the Maximum Subscription amount will be sufficient to meet the Company</w:t>
      </w:r>
      <w:r w:rsidR="00C7359B">
        <w:t>’</w:t>
      </w:r>
      <w:r w:rsidR="000E550A">
        <w:t xml:space="preserve">s short-term objectives over the next </w:t>
      </w:r>
      <w:r w:rsidR="00464439">
        <w:t>18–</w:t>
      </w:r>
      <w:r w:rsidR="000E550A">
        <w:t>24 months.</w:t>
      </w:r>
    </w:p>
    <w:p w14:paraId="4AC9E69D" w14:textId="1240826B" w:rsidR="000E550A" w:rsidRPr="00F01B20" w:rsidRDefault="000E550A" w:rsidP="00CF3399">
      <w:pPr>
        <w:pStyle w:val="BodyText"/>
      </w:pPr>
      <w:r>
        <w:t>If only the Minimum Subscription amount is raised, the Company will require further funding to be able to carry</w:t>
      </w:r>
      <w:r w:rsidR="00E121AA">
        <w:t xml:space="preserve"> </w:t>
      </w:r>
      <w:r>
        <w:t xml:space="preserve">out </w:t>
      </w:r>
      <w:r w:rsidR="006259A4">
        <w:t xml:space="preserve">our </w:t>
      </w:r>
      <w:r>
        <w:t>intended activities over the next 12–</w:t>
      </w:r>
      <w:r w:rsidR="00464439">
        <w:t>18</w:t>
      </w:r>
      <w:r>
        <w:t xml:space="preserve"> months. In such circumstances, the Company may consider undertaking a further </w:t>
      </w:r>
      <w:r w:rsidR="005A267A">
        <w:t xml:space="preserve">CSF </w:t>
      </w:r>
      <w:r>
        <w:t>offer under the CSF regime.</w:t>
      </w:r>
      <w:r w:rsidR="00892B9C">
        <w:t xml:space="preserve"> </w:t>
      </w:r>
      <w:r>
        <w:t xml:space="preserve">Until additional funding is obtained, </w:t>
      </w:r>
      <w:r w:rsidR="006259A4">
        <w:t>we</w:t>
      </w:r>
      <w:r>
        <w:t xml:space="preserve"> will scale</w:t>
      </w:r>
      <w:r w:rsidR="00D322BD">
        <w:t xml:space="preserve"> </w:t>
      </w:r>
      <w:r>
        <w:t xml:space="preserve">back </w:t>
      </w:r>
      <w:r w:rsidR="00E121AA">
        <w:t>s</w:t>
      </w:r>
      <w:r>
        <w:t xml:space="preserve">ales and </w:t>
      </w:r>
      <w:r w:rsidR="00E121AA">
        <w:t>m</w:t>
      </w:r>
      <w:r>
        <w:t xml:space="preserve">arketing and </w:t>
      </w:r>
      <w:r w:rsidR="00E121AA">
        <w:t>p</w:t>
      </w:r>
      <w:r>
        <w:t>roduction activities</w:t>
      </w:r>
      <w:r w:rsidR="008C4613">
        <w:t>,</w:t>
      </w:r>
      <w:r>
        <w:t xml:space="preserve"> and continue to focus </w:t>
      </w:r>
      <w:r w:rsidR="006259A4">
        <w:t xml:space="preserve">our </w:t>
      </w:r>
      <w:r>
        <w:t xml:space="preserve">cash resources on </w:t>
      </w:r>
      <w:r w:rsidR="00E121AA">
        <w:t>r</w:t>
      </w:r>
      <w:r>
        <w:t xml:space="preserve">esearch </w:t>
      </w:r>
      <w:r w:rsidR="00E121AA">
        <w:t>and</w:t>
      </w:r>
      <w:r>
        <w:t xml:space="preserve"> </w:t>
      </w:r>
      <w:r w:rsidR="00E121AA">
        <w:t>d</w:t>
      </w:r>
      <w:r>
        <w:t xml:space="preserve">evelopment and </w:t>
      </w:r>
      <w:r w:rsidR="00E121AA">
        <w:t>w</w:t>
      </w:r>
      <w:r>
        <w:t xml:space="preserve">orking </w:t>
      </w:r>
      <w:r w:rsidR="00E121AA">
        <w:t>c</w:t>
      </w:r>
      <w:r>
        <w:t xml:space="preserve">apital costs to advance the clinical trials of </w:t>
      </w:r>
      <w:r w:rsidR="006259A4">
        <w:t xml:space="preserve">our </w:t>
      </w:r>
      <w:r>
        <w:t>new technology.</w:t>
      </w:r>
    </w:p>
    <w:p w14:paraId="3EA0EF06" w14:textId="6DD2654B" w:rsidR="000E550A" w:rsidRDefault="000E550A" w:rsidP="00AD1C07">
      <w:pPr>
        <w:pStyle w:val="Heading2"/>
      </w:pPr>
      <w:bookmarkStart w:id="38" w:name="_Toc526771238"/>
      <w:r w:rsidRPr="003D3625">
        <w:t xml:space="preserve">Rights </w:t>
      </w:r>
      <w:r w:rsidR="00245C2F">
        <w:t>associated with</w:t>
      </w:r>
      <w:r w:rsidRPr="003D3625">
        <w:t xml:space="preserve"> the </w:t>
      </w:r>
      <w:r w:rsidR="00B12384">
        <w:t>s</w:t>
      </w:r>
      <w:r w:rsidRPr="003D3625">
        <w:t>hares</w:t>
      </w:r>
      <w:bookmarkEnd w:id="38"/>
    </w:p>
    <w:p w14:paraId="3EFE98CA" w14:textId="5DF60D3E" w:rsidR="000E550A" w:rsidRPr="00EE434A" w:rsidRDefault="00424FE9" w:rsidP="003D400F">
      <w:pPr>
        <w:pStyle w:val="Templatecommentarytext"/>
      </w:pPr>
      <w:r>
        <w:t>I</w:t>
      </w:r>
      <w:r w:rsidR="000E550A" w:rsidRPr="00EE434A">
        <w:t xml:space="preserve">nclude </w:t>
      </w:r>
      <w:r w:rsidR="007B166E">
        <w:t xml:space="preserve">a description </w:t>
      </w:r>
      <w:r w:rsidR="00923612">
        <w:t xml:space="preserve">or summary </w:t>
      </w:r>
      <w:r w:rsidR="007B166E">
        <w:t>of</w:t>
      </w:r>
      <w:r w:rsidR="000E550A" w:rsidRPr="00EE434A">
        <w:t xml:space="preserve"> </w:t>
      </w:r>
      <w:r>
        <w:t xml:space="preserve">the </w:t>
      </w:r>
      <w:r w:rsidR="000E550A" w:rsidRPr="00EE434A">
        <w:t xml:space="preserve">rights </w:t>
      </w:r>
      <w:r>
        <w:t>associated with the shares being offered</w:t>
      </w:r>
      <w:r w:rsidR="000E550A" w:rsidRPr="00EE434A">
        <w:t xml:space="preserve">. The </w:t>
      </w:r>
      <w:r w:rsidR="00880DC8">
        <w:t>illustrative example</w:t>
      </w:r>
      <w:r w:rsidR="00880DC8" w:rsidRPr="00EE434A">
        <w:t xml:space="preserve"> </w:t>
      </w:r>
      <w:r w:rsidR="000E550A" w:rsidRPr="00EE434A">
        <w:t xml:space="preserve">below </w:t>
      </w:r>
      <w:r w:rsidR="00880DC8">
        <w:t xml:space="preserve">includes </w:t>
      </w:r>
      <w:r w:rsidR="00822F41">
        <w:t xml:space="preserve">only </w:t>
      </w:r>
      <w:r w:rsidR="00880DC8">
        <w:t>some of</w:t>
      </w:r>
      <w:r w:rsidR="000E550A" w:rsidRPr="00EE434A">
        <w:t xml:space="preserve"> the common shareholder rights</w:t>
      </w:r>
      <w:r w:rsidR="000864A5">
        <w:t xml:space="preserve"> –</w:t>
      </w:r>
      <w:r w:rsidR="000E550A" w:rsidRPr="00EE434A">
        <w:t xml:space="preserve"> there </w:t>
      </w:r>
      <w:r w:rsidR="00676396">
        <w:t xml:space="preserve">may </w:t>
      </w:r>
      <w:r w:rsidR="000E550A" w:rsidRPr="00EE434A">
        <w:t>be others that appl</w:t>
      </w:r>
      <w:r w:rsidR="000864A5">
        <w:t>y</w:t>
      </w:r>
      <w:r w:rsidR="000E550A" w:rsidRPr="00EE434A">
        <w:t xml:space="preserve"> to your </w:t>
      </w:r>
      <w:r w:rsidR="006626DE">
        <w:t>c</w:t>
      </w:r>
      <w:r w:rsidR="000E550A" w:rsidRPr="00EE434A">
        <w:t>ompany.</w:t>
      </w:r>
      <w:r w:rsidR="00923612">
        <w:t xml:space="preserve"> You may wish to include a full description of the rights </w:t>
      </w:r>
      <w:r w:rsidR="007C6926">
        <w:t xml:space="preserve">in </w:t>
      </w:r>
      <w:r w:rsidR="00923612">
        <w:t>another section of</w:t>
      </w:r>
      <w:r w:rsidR="007C6926">
        <w:t>,</w:t>
      </w:r>
      <w:r w:rsidR="00923612">
        <w:t xml:space="preserve"> or in an a</w:t>
      </w:r>
      <w:r w:rsidR="007C6926">
        <w:t>ppendix</w:t>
      </w:r>
      <w:r w:rsidR="00923612">
        <w:t xml:space="preserve"> to</w:t>
      </w:r>
      <w:r w:rsidR="007C6926">
        <w:t>,</w:t>
      </w:r>
      <w:r w:rsidR="00923612">
        <w:t xml:space="preserve"> the CSF offer document (with a summary and cross-reference in this section of the </w:t>
      </w:r>
      <w:r w:rsidR="00AE123A">
        <w:t xml:space="preserve">CSF </w:t>
      </w:r>
      <w:r w:rsidR="00923612">
        <w:t>offer document).</w:t>
      </w:r>
      <w:r w:rsidR="00880DC8">
        <w:t xml:space="preserve"> See </w:t>
      </w:r>
      <w:r w:rsidR="00880DC8" w:rsidRPr="00521219">
        <w:t xml:space="preserve">Table 19 in </w:t>
      </w:r>
      <w:hyperlink r:id="rId29" w:history="1">
        <w:r w:rsidR="00880DC8" w:rsidRPr="00E65C3D">
          <w:rPr>
            <w:rStyle w:val="Hyperlink"/>
          </w:rPr>
          <w:t xml:space="preserve">RG </w:t>
        </w:r>
        <w:r w:rsidR="001013EB" w:rsidRPr="00E65C3D">
          <w:rPr>
            <w:rStyle w:val="Hyperlink"/>
          </w:rPr>
          <w:t>261</w:t>
        </w:r>
      </w:hyperlink>
      <w:r w:rsidR="00880DC8">
        <w:t xml:space="preserve"> for further guidance.</w:t>
      </w:r>
    </w:p>
    <w:p w14:paraId="48384E88" w14:textId="74BFC2D2" w:rsidR="000E550A" w:rsidRDefault="000E550A" w:rsidP="00CF3399">
      <w:pPr>
        <w:pStyle w:val="BodyText"/>
      </w:pPr>
      <w:r w:rsidRPr="00C74A34">
        <w:t xml:space="preserve">Immediately after issue, the </w:t>
      </w:r>
      <w:r w:rsidR="00B12384">
        <w:t>s</w:t>
      </w:r>
      <w:r w:rsidRPr="00C74A34">
        <w:t>hares will be fully</w:t>
      </w:r>
      <w:r w:rsidR="000864A5">
        <w:t>-</w:t>
      </w:r>
      <w:r w:rsidRPr="00C74A34">
        <w:t xml:space="preserve">paid </w:t>
      </w:r>
      <w:r w:rsidR="00B12384">
        <w:t>s</w:t>
      </w:r>
      <w:r w:rsidRPr="00C74A34">
        <w:t>hares. There will be no liability on the part</w:t>
      </w:r>
      <w:r>
        <w:t xml:space="preserve"> </w:t>
      </w:r>
      <w:r w:rsidRPr="00C74A34">
        <w:t xml:space="preserve">of shareholders and the </w:t>
      </w:r>
      <w:r w:rsidR="00B12384">
        <w:t>s</w:t>
      </w:r>
      <w:r w:rsidRPr="00C74A34">
        <w:t xml:space="preserve">hares will rank </w:t>
      </w:r>
      <w:r>
        <w:t>equally</w:t>
      </w:r>
      <w:r w:rsidRPr="00C74A34">
        <w:t xml:space="preserve"> with the </w:t>
      </w:r>
      <w:r w:rsidR="00B12384">
        <w:t>s</w:t>
      </w:r>
      <w:r w:rsidRPr="00C74A34">
        <w:t>hare</w:t>
      </w:r>
      <w:r>
        <w:t>s</w:t>
      </w:r>
      <w:r w:rsidRPr="00C74A34">
        <w:t xml:space="preserve"> currently on issue.</w:t>
      </w:r>
    </w:p>
    <w:p w14:paraId="33298662" w14:textId="6BFE398F" w:rsidR="000E550A" w:rsidRDefault="00822F41" w:rsidP="000C3A0B">
      <w:pPr>
        <w:pStyle w:val="BodyText"/>
      </w:pPr>
      <w:r>
        <w:t>T</w:t>
      </w:r>
      <w:r w:rsidR="000E550A" w:rsidRPr="00C74A34">
        <w:t xml:space="preserve">he rights </w:t>
      </w:r>
      <w:r w:rsidR="000C23CA">
        <w:t>associated with</w:t>
      </w:r>
      <w:r w:rsidR="000E550A" w:rsidRPr="00C74A34">
        <w:t xml:space="preserve"> the </w:t>
      </w:r>
      <w:r w:rsidR="00B12384">
        <w:t>s</w:t>
      </w:r>
      <w:r w:rsidR="000E550A" w:rsidRPr="00C74A34">
        <w:t>hares are set out in the Comp</w:t>
      </w:r>
      <w:r w:rsidR="000E550A">
        <w:t>any</w:t>
      </w:r>
      <w:r w:rsidR="00C7359B">
        <w:t>’</w:t>
      </w:r>
      <w:r w:rsidR="000E550A">
        <w:t xml:space="preserve">s </w:t>
      </w:r>
      <w:r w:rsidR="00D84A82">
        <w:t>c</w:t>
      </w:r>
      <w:r w:rsidR="000E550A" w:rsidRPr="00C74A34">
        <w:t>onstitution</w:t>
      </w:r>
      <w:r w:rsidR="000E550A">
        <w:t xml:space="preserve">. </w:t>
      </w:r>
      <w:r w:rsidR="003862AB">
        <w:t xml:space="preserve">A </w:t>
      </w:r>
      <w:r w:rsidR="00CA3395">
        <w:t>s</w:t>
      </w:r>
      <w:r w:rsidR="003862AB">
        <w:t xml:space="preserve">ummary of these rights is set out below. </w:t>
      </w:r>
      <w:r w:rsidR="000E550A">
        <w:t xml:space="preserve">A copy of the </w:t>
      </w:r>
      <w:r w:rsidR="00D84A82">
        <w:t>c</w:t>
      </w:r>
      <w:r w:rsidR="000E550A" w:rsidRPr="00C74A34">
        <w:t xml:space="preserve">onstitution </w:t>
      </w:r>
      <w:r w:rsidR="00676396">
        <w:t xml:space="preserve">is attached in the Annexure to this </w:t>
      </w:r>
      <w:r w:rsidR="00AE123A">
        <w:t xml:space="preserve">CSF </w:t>
      </w:r>
      <w:r w:rsidR="00676396">
        <w:t xml:space="preserve">offer document and is available on the </w:t>
      </w:r>
      <w:r w:rsidR="008C4613">
        <w:t>I</w:t>
      </w:r>
      <w:r w:rsidR="00676396">
        <w:t>ntermediary</w:t>
      </w:r>
      <w:r w:rsidR="00C7359B">
        <w:t>’</w:t>
      </w:r>
      <w:r w:rsidR="00676396">
        <w:t>s platform.</w:t>
      </w:r>
    </w:p>
    <w:p w14:paraId="5B15224F" w14:textId="77777777" w:rsidR="000E550A" w:rsidRPr="007325D2" w:rsidRDefault="000E550A" w:rsidP="00AD1C07">
      <w:pPr>
        <w:pStyle w:val="Heading3"/>
      </w:pPr>
      <w:r w:rsidRPr="007325D2">
        <w:t xml:space="preserve">Voting </w:t>
      </w:r>
      <w:r w:rsidR="00E121AA">
        <w:t>r</w:t>
      </w:r>
      <w:r w:rsidRPr="007325D2">
        <w:t>ights</w:t>
      </w:r>
    </w:p>
    <w:p w14:paraId="54D22031" w14:textId="545AE254" w:rsidR="000E550A" w:rsidRDefault="00285141" w:rsidP="00490506">
      <w:pPr>
        <w:pStyle w:val="BodyText"/>
      </w:pPr>
      <w:r>
        <w:t>E</w:t>
      </w:r>
      <w:r w:rsidR="000E550A" w:rsidRPr="00EE434A">
        <w:t xml:space="preserve">ach shareholder has </w:t>
      </w:r>
      <w:r w:rsidR="00E121AA">
        <w:t>one</w:t>
      </w:r>
      <w:r w:rsidR="000E550A" w:rsidRPr="00EE434A">
        <w:t xml:space="preserve"> vote on a show of hands and, on a poll, </w:t>
      </w:r>
      <w:r w:rsidR="00E121AA">
        <w:t>one</w:t>
      </w:r>
      <w:r w:rsidR="000E550A" w:rsidRPr="00EE434A">
        <w:t xml:space="preserve"> vote for each </w:t>
      </w:r>
      <w:r w:rsidR="00B12384">
        <w:t>s</w:t>
      </w:r>
      <w:r w:rsidR="000E550A" w:rsidRPr="00EE434A">
        <w:t>hare held.</w:t>
      </w:r>
    </w:p>
    <w:p w14:paraId="1C29DC6F" w14:textId="77777777" w:rsidR="00822F41" w:rsidRDefault="00822F41" w:rsidP="00822F41">
      <w:pPr>
        <w:pStyle w:val="Heading3"/>
      </w:pPr>
      <w:r>
        <w:t>Election and removal of directors</w:t>
      </w:r>
    </w:p>
    <w:p w14:paraId="0CFA3FA1" w14:textId="77777777" w:rsidR="00822F41" w:rsidRPr="00EE434A" w:rsidRDefault="00822F41" w:rsidP="00490506">
      <w:pPr>
        <w:pStyle w:val="BodyText"/>
      </w:pPr>
      <w:r>
        <w:t xml:space="preserve">Shareholders may vote to elect and remove </w:t>
      </w:r>
      <w:r w:rsidRPr="00EE434A">
        <w:t>directors at a general meeting</w:t>
      </w:r>
      <w:r>
        <w:t xml:space="preserve"> by way of ordinary resolution (50%).</w:t>
      </w:r>
    </w:p>
    <w:p w14:paraId="7767CAE4" w14:textId="77777777" w:rsidR="000E550A" w:rsidRDefault="000E550A" w:rsidP="00AD1C07">
      <w:pPr>
        <w:pStyle w:val="Heading3"/>
      </w:pPr>
      <w:r>
        <w:t xml:space="preserve">General </w:t>
      </w:r>
      <w:r w:rsidR="00E121AA">
        <w:t>m</w:t>
      </w:r>
      <w:r>
        <w:t xml:space="preserve">eetings and </w:t>
      </w:r>
      <w:r w:rsidR="00E121AA">
        <w:t>n</w:t>
      </w:r>
      <w:r>
        <w:t>otices</w:t>
      </w:r>
    </w:p>
    <w:p w14:paraId="63DF9100" w14:textId="77777777" w:rsidR="000E550A" w:rsidRPr="004C3F83" w:rsidRDefault="00285141" w:rsidP="00490506">
      <w:pPr>
        <w:pStyle w:val="BodyText"/>
      </w:pPr>
      <w:r w:rsidRPr="004C3F83">
        <w:t>D</w:t>
      </w:r>
      <w:r w:rsidR="000E550A" w:rsidRPr="004C3F83">
        <w:t xml:space="preserve">irectors have the power to call meetings of all shareholders or meetings of only those shareholders who hold a particular class of shares. Shareholders who hold at least 5% of the votes which may be cast at a general meeting of </w:t>
      </w:r>
      <w:r w:rsidR="007C24BE" w:rsidRPr="004C3F83">
        <w:t>the C</w:t>
      </w:r>
      <w:r w:rsidR="000E550A" w:rsidRPr="004C3F83">
        <w:t>ompany have the power to call and hold a meeting themselves or to require the direct</w:t>
      </w:r>
      <w:r w:rsidR="00D66B90">
        <w:t>ors to call and hold a meeting.</w:t>
      </w:r>
    </w:p>
    <w:p w14:paraId="12CA96BA" w14:textId="77777777" w:rsidR="000E550A" w:rsidRDefault="00851714" w:rsidP="00AD1C07">
      <w:pPr>
        <w:pStyle w:val="Heading3"/>
      </w:pPr>
      <w:r>
        <w:lastRenderedPageBreak/>
        <w:t>Dividends</w:t>
      </w:r>
    </w:p>
    <w:p w14:paraId="01051C5D" w14:textId="482BDBD0" w:rsidR="000E550A" w:rsidRPr="00EE434A" w:rsidRDefault="00285141" w:rsidP="00490506">
      <w:pPr>
        <w:pStyle w:val="BodyText"/>
      </w:pPr>
      <w:r>
        <w:t xml:space="preserve">All shareholders have a right to receive any dividends declared and paid </w:t>
      </w:r>
      <w:r w:rsidR="00804778">
        <w:t>by the C</w:t>
      </w:r>
      <w:r>
        <w:t>ompany. The directors have a discretion and may resolve to pay dividends, subject to their obligations under the Corporations Act (</w:t>
      </w:r>
      <w:r w:rsidR="008C4613">
        <w:t>e.g.</w:t>
      </w:r>
      <w:r>
        <w:t xml:space="preserve"> they cannot</w:t>
      </w:r>
      <w:r w:rsidR="00804778">
        <w:t xml:space="preserve"> pay</w:t>
      </w:r>
      <w:r>
        <w:t xml:space="preserve"> dividends </w:t>
      </w:r>
      <w:r w:rsidR="00804778">
        <w:t>unless the Company</w:t>
      </w:r>
      <w:r w:rsidR="00C7359B">
        <w:t>’</w:t>
      </w:r>
      <w:r w:rsidR="00804778">
        <w:t xml:space="preserve">s assets are sufficiently in excess of its liabilities immediately before the dividend is declared and </w:t>
      </w:r>
      <w:r>
        <w:t>where it may materially prejudice the Company</w:t>
      </w:r>
      <w:r w:rsidR="00C7359B">
        <w:t>’</w:t>
      </w:r>
      <w:r>
        <w:t>s ability to pay its creditors).</w:t>
      </w:r>
    </w:p>
    <w:p w14:paraId="3C1DD781" w14:textId="77777777" w:rsidR="000E550A" w:rsidRDefault="000E550A" w:rsidP="00AD1C07">
      <w:pPr>
        <w:pStyle w:val="Heading3"/>
      </w:pPr>
      <w:r>
        <w:t>Winding-</w:t>
      </w:r>
      <w:r w:rsidR="00E121AA">
        <w:t>u</w:t>
      </w:r>
      <w:r>
        <w:t>p</w:t>
      </w:r>
    </w:p>
    <w:p w14:paraId="6D328BE5" w14:textId="760C8186" w:rsidR="00174756" w:rsidRDefault="00804778" w:rsidP="00174756">
      <w:pPr>
        <w:pStyle w:val="BodyText"/>
      </w:pPr>
      <w:r>
        <w:t xml:space="preserve">If the Company is wound up and there are any assets left over after all the </w:t>
      </w:r>
      <w:r w:rsidR="00490506">
        <w:t>C</w:t>
      </w:r>
      <w:r>
        <w:t>ompany</w:t>
      </w:r>
      <w:r w:rsidR="00C7359B">
        <w:t>’</w:t>
      </w:r>
      <w:r>
        <w:t>s debts have been paid, the surplus is distributed to holders o</w:t>
      </w:r>
      <w:r w:rsidR="000864A5">
        <w:t>f</w:t>
      </w:r>
      <w:r>
        <w:t xml:space="preserve"> ordinary shares after secured and unsecured creditors of the </w:t>
      </w:r>
      <w:r w:rsidR="000864A5">
        <w:t>C</w:t>
      </w:r>
      <w:r>
        <w:t xml:space="preserve">ompany. Holders of fully-paid ordinary voting shares rank </w:t>
      </w:r>
      <w:r w:rsidR="009448E6">
        <w:t>ahead of other classes of shares (if any)</w:t>
      </w:r>
      <w:r>
        <w:t>.</w:t>
      </w:r>
    </w:p>
    <w:p w14:paraId="5F7F4AEA" w14:textId="7FEE101A" w:rsidR="000E550A" w:rsidRDefault="000E550A" w:rsidP="00AD1C07">
      <w:pPr>
        <w:pStyle w:val="Heading2"/>
      </w:pPr>
      <w:bookmarkStart w:id="39" w:name="_Toc483818111"/>
      <w:bookmarkStart w:id="40" w:name="_Toc483820612"/>
      <w:bookmarkStart w:id="41" w:name="_Toc484073840"/>
      <w:bookmarkStart w:id="42" w:name="_Toc482890278"/>
      <w:bookmarkStart w:id="43" w:name="_Toc482890307"/>
      <w:bookmarkStart w:id="44" w:name="_Toc482890334"/>
      <w:bookmarkStart w:id="45" w:name="_Toc483818113"/>
      <w:bookmarkStart w:id="46" w:name="_Toc483820614"/>
      <w:bookmarkStart w:id="47" w:name="_Toc484073842"/>
      <w:bookmarkStart w:id="48" w:name="_Toc482890282"/>
      <w:bookmarkStart w:id="49" w:name="_Toc482890311"/>
      <w:bookmarkStart w:id="50" w:name="_Toc482890338"/>
      <w:bookmarkStart w:id="51" w:name="_Toc483818117"/>
      <w:bookmarkStart w:id="52" w:name="_Toc483820618"/>
      <w:bookmarkStart w:id="53" w:name="_Toc484073846"/>
      <w:bookmarkStart w:id="54" w:name="_Toc52677123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F11BE2">
        <w:t xml:space="preserve">Details of previous </w:t>
      </w:r>
      <w:r w:rsidR="004E13F3">
        <w:t xml:space="preserve">CSF </w:t>
      </w:r>
      <w:r w:rsidRPr="00F11BE2">
        <w:t>offers</w:t>
      </w:r>
      <w:bookmarkEnd w:id="54"/>
    </w:p>
    <w:p w14:paraId="3169E26D" w14:textId="77777777" w:rsidR="000E550A" w:rsidRPr="00EE434A" w:rsidRDefault="00FA0E99" w:rsidP="00302070">
      <w:pPr>
        <w:pStyle w:val="Templatecommentarytext"/>
      </w:pPr>
      <w:r>
        <w:t>Include</w:t>
      </w:r>
      <w:r w:rsidR="000E550A" w:rsidRPr="00EE434A">
        <w:t xml:space="preserve"> a description of all previous </w:t>
      </w:r>
      <w:r w:rsidR="00AC577F">
        <w:t xml:space="preserve">CSF </w:t>
      </w:r>
      <w:r w:rsidR="000E550A" w:rsidRPr="00EE434A">
        <w:t xml:space="preserve">offers </w:t>
      </w:r>
      <w:r w:rsidR="00AC577F">
        <w:t>(if any) made by</w:t>
      </w:r>
      <w:r>
        <w:t>:</w:t>
      </w:r>
    </w:p>
    <w:p w14:paraId="46204D42" w14:textId="77777777" w:rsidR="000E550A" w:rsidRPr="003D400F" w:rsidRDefault="000E550A" w:rsidP="00302070">
      <w:pPr>
        <w:pStyle w:val="Templatecommentarylist"/>
      </w:pPr>
      <w:r w:rsidRPr="003D400F">
        <w:t>your company</w:t>
      </w:r>
    </w:p>
    <w:p w14:paraId="6040B8C3" w14:textId="7C0CDE4D" w:rsidR="000E550A" w:rsidRPr="00302070" w:rsidRDefault="000E550A" w:rsidP="00302070">
      <w:pPr>
        <w:pStyle w:val="Templatecommentarylist"/>
      </w:pPr>
      <w:r w:rsidRPr="00AB0DD0">
        <w:t xml:space="preserve">any </w:t>
      </w:r>
      <w:r w:rsidR="00AC577F">
        <w:t xml:space="preserve">other company </w:t>
      </w:r>
      <w:r w:rsidR="00F32162">
        <w:t xml:space="preserve">in which </w:t>
      </w:r>
      <w:r w:rsidRPr="00AB0DD0">
        <w:t xml:space="preserve">your directors or </w:t>
      </w:r>
      <w:r w:rsidRPr="00302070">
        <w:t>senior managers</w:t>
      </w:r>
      <w:r w:rsidR="00AC577F">
        <w:t xml:space="preserve"> were </w:t>
      </w:r>
      <w:r w:rsidR="00B22683">
        <w:t>appointed</w:t>
      </w:r>
      <w:r w:rsidR="00F32162">
        <w:t xml:space="preserve"> (at the time of that CSF offer)</w:t>
      </w:r>
      <w:r w:rsidR="00B22683">
        <w:t xml:space="preserve"> as a director or senior manager</w:t>
      </w:r>
      <w:r w:rsidR="00AC577F">
        <w:t xml:space="preserve"> </w:t>
      </w:r>
    </w:p>
    <w:p w14:paraId="2DFCFE3D" w14:textId="77777777" w:rsidR="000E550A" w:rsidRPr="00302070" w:rsidRDefault="000E550A" w:rsidP="00302070">
      <w:pPr>
        <w:pStyle w:val="Templatecommentarylist"/>
      </w:pPr>
      <w:r w:rsidRPr="00302070">
        <w:t>any related parties of your company</w:t>
      </w:r>
    </w:p>
    <w:p w14:paraId="5DB22521" w14:textId="6728DBA1" w:rsidR="000E550A" w:rsidRDefault="000E550A" w:rsidP="00302070">
      <w:pPr>
        <w:pStyle w:val="Templatecommentarylist"/>
      </w:pPr>
      <w:r w:rsidRPr="00302070">
        <w:t xml:space="preserve">any </w:t>
      </w:r>
      <w:r w:rsidR="00AC577F">
        <w:t xml:space="preserve">other company controlled (at the time of that CSF offer) </w:t>
      </w:r>
      <w:r w:rsidR="00490506">
        <w:t xml:space="preserve">by </w:t>
      </w:r>
      <w:r w:rsidR="00AC577F">
        <w:t xml:space="preserve">a </w:t>
      </w:r>
      <w:r w:rsidRPr="00302070">
        <w:t xml:space="preserve">person that </w:t>
      </w:r>
      <w:r w:rsidR="00C7359B">
        <w:t>‘</w:t>
      </w:r>
      <w:r w:rsidRPr="00302070">
        <w:t>control</w:t>
      </w:r>
      <w:r w:rsidR="00AC577F">
        <w:t>s</w:t>
      </w:r>
      <w:r w:rsidR="00C7359B">
        <w:t>’</w:t>
      </w:r>
      <w:r w:rsidRPr="00302070">
        <w:t xml:space="preserve"> your company (e.g. controlling shareholders).</w:t>
      </w:r>
    </w:p>
    <w:p w14:paraId="16473AF5" w14:textId="5DDFAA19" w:rsidR="00FA0E99" w:rsidRPr="00490506" w:rsidRDefault="00FA0E99" w:rsidP="00490506">
      <w:pPr>
        <w:pStyle w:val="Templatecommentarytext"/>
      </w:pPr>
      <w:r w:rsidRPr="00490506">
        <w:t>I</w:t>
      </w:r>
      <w:r w:rsidR="000E550A" w:rsidRPr="00490506">
        <w:t xml:space="preserve">nclude details about who made the </w:t>
      </w:r>
      <w:r w:rsidR="00711652" w:rsidRPr="00490506">
        <w:t xml:space="preserve">CSF </w:t>
      </w:r>
      <w:r w:rsidR="000E550A" w:rsidRPr="00490506">
        <w:t xml:space="preserve">offer and when, and the outcome of the </w:t>
      </w:r>
      <w:r w:rsidR="00711652" w:rsidRPr="00490506">
        <w:t xml:space="preserve">CSF </w:t>
      </w:r>
      <w:r w:rsidR="000E550A" w:rsidRPr="00490506">
        <w:t>offer (</w:t>
      </w:r>
      <w:r w:rsidR="00D60CAE">
        <w:t>e.g.</w:t>
      </w:r>
      <w:r w:rsidR="000E550A" w:rsidRPr="00490506">
        <w:t xml:space="preserve"> whether the </w:t>
      </w:r>
      <w:r w:rsidR="00711652" w:rsidRPr="00490506">
        <w:t xml:space="preserve">CSF </w:t>
      </w:r>
      <w:r w:rsidR="000E550A" w:rsidRPr="00490506">
        <w:t xml:space="preserve">offer </w:t>
      </w:r>
      <w:r w:rsidR="00711652" w:rsidRPr="00490506">
        <w:t>was</w:t>
      </w:r>
      <w:r w:rsidR="000E550A" w:rsidRPr="00490506">
        <w:t xml:space="preserve"> </w:t>
      </w:r>
      <w:r w:rsidR="00C7359B">
        <w:t>‘</w:t>
      </w:r>
      <w:r w:rsidR="00AB2141" w:rsidRPr="00490506">
        <w:t>complete</w:t>
      </w:r>
      <w:r w:rsidR="00C7359B">
        <w:t>’</w:t>
      </w:r>
      <w:r w:rsidR="00AB2141" w:rsidRPr="00490506">
        <w:t xml:space="preserve"> </w:t>
      </w:r>
      <w:r w:rsidR="000E550A" w:rsidRPr="00490506">
        <w:t xml:space="preserve">and the </w:t>
      </w:r>
      <w:r w:rsidR="00D1076A" w:rsidRPr="00490506">
        <w:t>minimum subscription amount was</w:t>
      </w:r>
      <w:r w:rsidR="000E550A" w:rsidRPr="00490506">
        <w:t xml:space="preserve"> raised</w:t>
      </w:r>
      <w:r w:rsidR="00D1076A" w:rsidRPr="00490506">
        <w:t xml:space="preserve">, or whether the CSF offer was </w:t>
      </w:r>
      <w:r w:rsidR="00C7359B">
        <w:t>‘</w:t>
      </w:r>
      <w:r w:rsidR="00D1076A" w:rsidRPr="00490506">
        <w:t>unsuccessful</w:t>
      </w:r>
      <w:r w:rsidR="00C7359B">
        <w:t>’</w:t>
      </w:r>
      <w:r w:rsidR="000E550A" w:rsidRPr="00490506">
        <w:t>).</w:t>
      </w:r>
      <w:r w:rsidRPr="00490506">
        <w:t xml:space="preserve"> See Table 19 in </w:t>
      </w:r>
      <w:hyperlink r:id="rId30" w:history="1">
        <w:r w:rsidRPr="00E65C3D">
          <w:rPr>
            <w:rStyle w:val="Hyperlink"/>
          </w:rPr>
          <w:t xml:space="preserve">RG </w:t>
        </w:r>
        <w:r w:rsidR="001013EB" w:rsidRPr="00E65C3D">
          <w:rPr>
            <w:rStyle w:val="Hyperlink"/>
          </w:rPr>
          <w:t>261</w:t>
        </w:r>
      </w:hyperlink>
      <w:r w:rsidRPr="00490506">
        <w:t xml:space="preserve"> for further guidance.</w:t>
      </w:r>
    </w:p>
    <w:p w14:paraId="45AD85EC" w14:textId="77777777" w:rsidR="000E550A" w:rsidRPr="005811CA" w:rsidRDefault="000E550A" w:rsidP="004437F2">
      <w:pPr>
        <w:pStyle w:val="Heading1"/>
      </w:pPr>
      <w:bookmarkStart w:id="55" w:name="_Ref525569378"/>
      <w:bookmarkStart w:id="56" w:name="_Toc526771240"/>
      <w:r w:rsidRPr="005811CA">
        <w:lastRenderedPageBreak/>
        <w:t xml:space="preserve">Information about </w:t>
      </w:r>
      <w:r w:rsidR="00AC7A88">
        <w:t>i</w:t>
      </w:r>
      <w:r w:rsidRPr="005811CA">
        <w:t xml:space="preserve">nvestor </w:t>
      </w:r>
      <w:r w:rsidR="00AC7A88">
        <w:t>r</w:t>
      </w:r>
      <w:r w:rsidRPr="005811CA">
        <w:t>ights</w:t>
      </w:r>
      <w:bookmarkEnd w:id="55"/>
      <w:bookmarkEnd w:id="56"/>
    </w:p>
    <w:p w14:paraId="2CF77C10" w14:textId="77777777" w:rsidR="000E550A" w:rsidRPr="005D1EFD" w:rsidRDefault="000E550A" w:rsidP="00AD1C07">
      <w:pPr>
        <w:pStyle w:val="Heading2"/>
      </w:pPr>
      <w:bookmarkStart w:id="57" w:name="_Toc526771241"/>
      <w:r w:rsidRPr="005D1EFD">
        <w:t>Cooling-off rights</w:t>
      </w:r>
      <w:bookmarkEnd w:id="57"/>
    </w:p>
    <w:p w14:paraId="2D5F36AC" w14:textId="5D132146" w:rsidR="000E550A" w:rsidRPr="003D400F" w:rsidRDefault="000E550A" w:rsidP="00302070">
      <w:pPr>
        <w:pStyle w:val="Templatecommentarytext"/>
      </w:pPr>
      <w:r w:rsidRPr="00EE434A">
        <w:t>I</w:t>
      </w:r>
      <w:r w:rsidR="00324388">
        <w:t>nclude a description of</w:t>
      </w:r>
      <w:r w:rsidRPr="00EE434A">
        <w:t xml:space="preserve"> </w:t>
      </w:r>
      <w:r w:rsidR="00324388">
        <w:t xml:space="preserve">the </w:t>
      </w:r>
      <w:r w:rsidR="00F87B5E">
        <w:t xml:space="preserve">cooling-off </w:t>
      </w:r>
      <w:r w:rsidR="00324388">
        <w:t>right</w:t>
      </w:r>
      <w:r w:rsidR="00F87B5E">
        <w:t>s</w:t>
      </w:r>
      <w:r w:rsidR="00490506">
        <w:t>,</w:t>
      </w:r>
      <w:r w:rsidR="00F87B5E">
        <w:t xml:space="preserve"> which allow </w:t>
      </w:r>
      <w:r w:rsidR="00324388">
        <w:t xml:space="preserve">investors to withdraw their application under a CSF offer within </w:t>
      </w:r>
      <w:r w:rsidR="00490506">
        <w:t>five</w:t>
      </w:r>
      <w:r w:rsidR="00324388">
        <w:t xml:space="preserve"> days of their application. </w:t>
      </w:r>
      <w:r w:rsidRPr="003D400F">
        <w:t xml:space="preserve">See </w:t>
      </w:r>
      <w:r w:rsidRPr="00521219">
        <w:t xml:space="preserve">Table </w:t>
      </w:r>
      <w:r w:rsidR="000C23CA" w:rsidRPr="00521219">
        <w:t>20</w:t>
      </w:r>
      <w:r w:rsidRPr="00521219">
        <w:t xml:space="preserve"> in</w:t>
      </w:r>
      <w:r w:rsidRPr="003D400F">
        <w:t xml:space="preserve"> </w:t>
      </w:r>
      <w:hyperlink r:id="rId31" w:history="1">
        <w:r w:rsidRPr="00E65C3D">
          <w:rPr>
            <w:rStyle w:val="Hyperlink"/>
          </w:rPr>
          <w:t xml:space="preserve">RG </w:t>
        </w:r>
        <w:r w:rsidR="001013EB" w:rsidRPr="00E65C3D">
          <w:rPr>
            <w:rStyle w:val="Hyperlink"/>
          </w:rPr>
          <w:t>261</w:t>
        </w:r>
      </w:hyperlink>
      <w:r w:rsidRPr="003D400F">
        <w:t xml:space="preserve"> for further guidance.</w:t>
      </w:r>
      <w:r w:rsidR="00324388">
        <w:t xml:space="preserve"> An illustrative example is provided below.</w:t>
      </w:r>
    </w:p>
    <w:p w14:paraId="38C13B8D" w14:textId="77777777" w:rsidR="000E550A" w:rsidRPr="00E51BCD" w:rsidRDefault="000E550A" w:rsidP="00490506">
      <w:pPr>
        <w:pStyle w:val="BodyText"/>
      </w:pPr>
      <w:r w:rsidRPr="000C3A0B">
        <w:t xml:space="preserve">You have the right to withdraw your application under this </w:t>
      </w:r>
      <w:r w:rsidR="00711652" w:rsidRPr="00E51BCD">
        <w:t>O</w:t>
      </w:r>
      <w:r w:rsidRPr="00D9641B">
        <w:t>ffer and to be repaid your application money.</w:t>
      </w:r>
      <w:r w:rsidR="00AE40BC">
        <w:t xml:space="preserve"> </w:t>
      </w:r>
      <w:r w:rsidRPr="000C3A0B">
        <w:t>If you wish to withdraw your application for any reason (including if you cha</w:t>
      </w:r>
      <w:r w:rsidRPr="00E51BCD">
        <w:t xml:space="preserve">nge your mind about investing in the Company), you </w:t>
      </w:r>
      <w:r w:rsidRPr="00D9641B">
        <w:t xml:space="preserve">must do so within </w:t>
      </w:r>
      <w:r w:rsidR="00AC7A88" w:rsidRPr="004F4B66">
        <w:rPr>
          <w:b/>
        </w:rPr>
        <w:t>five</w:t>
      </w:r>
      <w:r w:rsidRPr="004F4B66">
        <w:rPr>
          <w:b/>
        </w:rPr>
        <w:t xml:space="preserve"> business days</w:t>
      </w:r>
      <w:r w:rsidRPr="000C3A0B">
        <w:t xml:space="preserve"> of making your application (the Cooling-off Period).</w:t>
      </w:r>
    </w:p>
    <w:p w14:paraId="68166C9B" w14:textId="131693B3" w:rsidR="000E550A" w:rsidRPr="004C3F83" w:rsidRDefault="000E550A" w:rsidP="00490506">
      <w:pPr>
        <w:pStyle w:val="BodyText"/>
      </w:pPr>
      <w:r w:rsidRPr="00D9641B">
        <w:t>You must withdraw your application via the Intermediary</w:t>
      </w:r>
      <w:r w:rsidR="00C7359B">
        <w:t>’</w:t>
      </w:r>
      <w:r w:rsidRPr="00550EB7">
        <w:t xml:space="preserve">s platform as follows: </w:t>
      </w:r>
      <w:r w:rsidRPr="00D66B90">
        <w:t>[</w:t>
      </w:r>
      <w:r w:rsidRPr="004C3F83">
        <w:rPr>
          <w:i/>
        </w:rPr>
        <w:t xml:space="preserve">insert the method or instructions for withdrawing offers, as specified by the </w:t>
      </w:r>
      <w:r w:rsidR="00AC7A88" w:rsidRPr="004C3F83">
        <w:rPr>
          <w:i/>
        </w:rPr>
        <w:t>I</w:t>
      </w:r>
      <w:r w:rsidRPr="004C3F83">
        <w:rPr>
          <w:i/>
        </w:rPr>
        <w:t>ntermediary</w:t>
      </w:r>
      <w:r w:rsidRPr="00D66B90">
        <w:t>]</w:t>
      </w:r>
    </w:p>
    <w:p w14:paraId="3F517516" w14:textId="77777777" w:rsidR="000E550A" w:rsidRPr="004C3F83" w:rsidRDefault="000E550A" w:rsidP="00490506">
      <w:pPr>
        <w:pStyle w:val="BodyText"/>
      </w:pPr>
      <w:r w:rsidRPr="004C3F83">
        <w:t xml:space="preserve">After your withdrawal has been processed, the </w:t>
      </w:r>
      <w:r w:rsidR="000D270E" w:rsidRPr="004C3F83">
        <w:t>I</w:t>
      </w:r>
      <w:r w:rsidRPr="004C3F83">
        <w:t>ntermediary will refund the application money to your nominated account as soon as practicable.</w:t>
      </w:r>
    </w:p>
    <w:p w14:paraId="0D3FCD40" w14:textId="21BD88D9" w:rsidR="00AE45A3" w:rsidRDefault="00AE45A3" w:rsidP="00A3218F">
      <w:pPr>
        <w:pStyle w:val="Heading2"/>
      </w:pPr>
      <w:bookmarkStart w:id="58" w:name="_Toc526771242"/>
      <w:r>
        <w:t>Communication facility for the Offer</w:t>
      </w:r>
      <w:bookmarkEnd w:id="58"/>
    </w:p>
    <w:p w14:paraId="63B1BEEE" w14:textId="29BE2593" w:rsidR="00AE45A3" w:rsidRPr="00EE434A" w:rsidRDefault="00AE45A3" w:rsidP="00AE45A3">
      <w:pPr>
        <w:pStyle w:val="Templatecommentarytext"/>
      </w:pPr>
      <w:r w:rsidRPr="00EE434A">
        <w:t>I</w:t>
      </w:r>
      <w:r>
        <w:t>nclude a description of</w:t>
      </w:r>
      <w:r w:rsidRPr="00EE434A">
        <w:t xml:space="preserve"> the</w:t>
      </w:r>
      <w:r>
        <w:t xml:space="preserve"> effect of the</w:t>
      </w:r>
      <w:r w:rsidRPr="00EE434A">
        <w:t xml:space="preserve"> communication facility </w:t>
      </w:r>
      <w:r>
        <w:t>for your company</w:t>
      </w:r>
      <w:r w:rsidR="00C7359B">
        <w:t>’</w:t>
      </w:r>
      <w:r>
        <w:t xml:space="preserve">s CSF offer </w:t>
      </w:r>
      <w:r w:rsidRPr="00EE434A">
        <w:t xml:space="preserve">on the </w:t>
      </w:r>
      <w:r>
        <w:t xml:space="preserve">CSF </w:t>
      </w:r>
      <w:r w:rsidRPr="00EE434A">
        <w:t>intermediary</w:t>
      </w:r>
      <w:r w:rsidR="00C7359B">
        <w:t>’</w:t>
      </w:r>
      <w:r w:rsidRPr="00EE434A">
        <w:t>s platform</w:t>
      </w:r>
      <w:r>
        <w:t>.</w:t>
      </w:r>
      <w:r w:rsidRPr="005E0075">
        <w:t xml:space="preserve"> </w:t>
      </w:r>
      <w:r w:rsidRPr="00EE434A">
        <w:t xml:space="preserve">See Table </w:t>
      </w:r>
      <w:r w:rsidRPr="00521219">
        <w:t>20</w:t>
      </w:r>
      <w:r w:rsidRPr="00EE434A">
        <w:t xml:space="preserve"> in </w:t>
      </w:r>
      <w:hyperlink r:id="rId32" w:history="1">
        <w:r w:rsidRPr="00E65C3D">
          <w:rPr>
            <w:rStyle w:val="Hyperlink"/>
          </w:rPr>
          <w:t>RG 261</w:t>
        </w:r>
      </w:hyperlink>
      <w:r w:rsidRPr="00EE434A">
        <w:t xml:space="preserve"> for further guidance.</w:t>
      </w:r>
      <w:r>
        <w:t xml:space="preserve"> An illustrative</w:t>
      </w:r>
      <w:r w:rsidRPr="00EE434A">
        <w:t xml:space="preserve"> example </w:t>
      </w:r>
      <w:r>
        <w:t xml:space="preserve">is </w:t>
      </w:r>
      <w:r w:rsidRPr="00EE434A">
        <w:t>provided below.</w:t>
      </w:r>
    </w:p>
    <w:p w14:paraId="34F69085" w14:textId="6315109D" w:rsidR="00AE45A3" w:rsidRPr="00CF3399" w:rsidRDefault="00AE45A3" w:rsidP="00AE45A3">
      <w:pPr>
        <w:pStyle w:val="BodyText"/>
      </w:pPr>
      <w:r w:rsidRPr="00CF3399">
        <w:t>You can ask questions about the Offer on the communication facility available on the Intermediary</w:t>
      </w:r>
      <w:r w:rsidR="00C7359B">
        <w:t>’</w:t>
      </w:r>
      <w:r w:rsidRPr="00CF3399">
        <w:t>s platform. You can also use the communication facility to communicate with other investors, with the Company and with the Intermediary about this Offer.</w:t>
      </w:r>
    </w:p>
    <w:p w14:paraId="721312E8" w14:textId="77777777" w:rsidR="00AE45A3" w:rsidRDefault="00AE45A3" w:rsidP="00AE45A3">
      <w:pPr>
        <w:pStyle w:val="BodyText"/>
      </w:pPr>
      <w:r>
        <w:t>You</w:t>
      </w:r>
      <w:r w:rsidRPr="00F815C8">
        <w:t xml:space="preserve"> will be able to post comments and questions about </w:t>
      </w:r>
      <w:r>
        <w:t>the Offer and</w:t>
      </w:r>
      <w:r w:rsidRPr="00F815C8">
        <w:t xml:space="preserve"> see the posts o</w:t>
      </w:r>
      <w:r>
        <w:t>f other investors on the communication facility. The Company and/or the Intermediary will also be</w:t>
      </w:r>
      <w:r w:rsidRPr="00F815C8">
        <w:t xml:space="preserve"> able to</w:t>
      </w:r>
      <w:r>
        <w:t xml:space="preserve"> respond to questions and comments posted by investors.</w:t>
      </w:r>
    </w:p>
    <w:p w14:paraId="60C95141" w14:textId="77777777" w:rsidR="00AE45A3" w:rsidRDefault="00AE45A3" w:rsidP="00AE45A3">
      <w:pPr>
        <w:pStyle w:val="BodyText"/>
      </w:pPr>
      <w:r>
        <w:t>O</w:t>
      </w:r>
      <w:r w:rsidRPr="00F815C8">
        <w:t>ffice</w:t>
      </w:r>
      <w:r>
        <w:t>rs, employees or agents of the Company</w:t>
      </w:r>
      <w:r w:rsidRPr="00F815C8">
        <w:t xml:space="preserve">, </w:t>
      </w:r>
      <w:r>
        <w:t xml:space="preserve">and </w:t>
      </w:r>
      <w:r w:rsidRPr="00F815C8">
        <w:t>relate</w:t>
      </w:r>
      <w:r>
        <w:t>d parties or associates of the Company or the I</w:t>
      </w:r>
      <w:r w:rsidRPr="00F815C8">
        <w:t xml:space="preserve">ntermediary, </w:t>
      </w:r>
      <w:r>
        <w:t xml:space="preserve">may participate in the facility and </w:t>
      </w:r>
      <w:r w:rsidRPr="00F815C8">
        <w:t xml:space="preserve">must clearly disclose </w:t>
      </w:r>
      <w:r>
        <w:t xml:space="preserve">their relationship to the Company and/or Intermediary </w:t>
      </w:r>
      <w:r w:rsidRPr="00F815C8">
        <w:t>when making posts on the facility</w:t>
      </w:r>
      <w:r>
        <w:t>.</w:t>
      </w:r>
    </w:p>
    <w:p w14:paraId="23031458" w14:textId="1D170190" w:rsidR="00F209BB" w:rsidRPr="004C0C57" w:rsidRDefault="00AE45A3" w:rsidP="004C0C57">
      <w:pPr>
        <w:pStyle w:val="BodyText"/>
        <w:spacing w:after="240"/>
      </w:pPr>
      <w:r>
        <w:t xml:space="preserve">Any </w:t>
      </w:r>
      <w:r w:rsidRPr="00F815C8">
        <w:t>com</w:t>
      </w:r>
      <w:r>
        <w:t>ments made in good faith on the communication</w:t>
      </w:r>
      <w:r w:rsidRPr="00F815C8">
        <w:t xml:space="preserve"> facility are not subject to the advertising restrictions</w:t>
      </w:r>
      <w:r>
        <w:t xml:space="preserve"> in the Corporations Act</w:t>
      </w:r>
      <w:r w:rsidRPr="00F815C8">
        <w:t>.</w:t>
      </w:r>
    </w:p>
    <w:p w14:paraId="11952124" w14:textId="66243860" w:rsidR="00923612" w:rsidRPr="00A9469F" w:rsidRDefault="00923612" w:rsidP="00C7359B">
      <w:pPr>
        <w:pStyle w:val="Heading2"/>
        <w:keepLines/>
        <w:ind w:left="142" w:firstLine="0"/>
        <w:rPr>
          <w:spacing w:val="-2"/>
        </w:rPr>
      </w:pPr>
      <w:bookmarkStart w:id="59" w:name="_Toc526771243"/>
      <w:r w:rsidRPr="00A9469F">
        <w:rPr>
          <w:spacing w:val="-2"/>
        </w:rPr>
        <w:lastRenderedPageBreak/>
        <w:t>Proprietary company corporate governance obligations</w:t>
      </w:r>
      <w:bookmarkEnd w:id="59"/>
    </w:p>
    <w:p w14:paraId="4DCAA69F" w14:textId="5800463A" w:rsidR="00E00126" w:rsidRDefault="00E00126" w:rsidP="00C7359B">
      <w:pPr>
        <w:pStyle w:val="Templatecommentarytext"/>
        <w:keepNext/>
        <w:keepLines/>
      </w:pPr>
      <w:r>
        <w:t>This subsection is for proprietary companies only. Delete if not needed.</w:t>
      </w:r>
    </w:p>
    <w:p w14:paraId="059789F6" w14:textId="58161F0E" w:rsidR="000A48DE" w:rsidRPr="000A48DE" w:rsidRDefault="000A48DE" w:rsidP="00C7359B">
      <w:pPr>
        <w:pStyle w:val="Templatecommentarytext"/>
        <w:keepNext/>
        <w:keepLines/>
      </w:pPr>
      <w:r w:rsidRPr="00C91320">
        <w:t>I</w:t>
      </w:r>
      <w:r>
        <w:t xml:space="preserve">f your company is </w:t>
      </w:r>
      <w:r w:rsidR="00BA7263">
        <w:t xml:space="preserve">currently or will be (following a successful CSF offer) </w:t>
      </w:r>
      <w:r>
        <w:t>a proprietary company</w:t>
      </w:r>
      <w:r w:rsidR="00BA7263">
        <w:t xml:space="preserve"> with CSF shareholders</w:t>
      </w:r>
      <w:r>
        <w:t xml:space="preserve"> </w:t>
      </w:r>
      <w:r w:rsidR="005046FE">
        <w:t>that</w:t>
      </w:r>
      <w:r w:rsidR="00D523F7">
        <w:t xml:space="preserve"> is </w:t>
      </w:r>
      <w:r>
        <w:t xml:space="preserve">required to comply with additional audit, reporting and corporate governance obligations, then </w:t>
      </w:r>
      <w:r w:rsidR="00BA7263">
        <w:t xml:space="preserve">you must </w:t>
      </w:r>
      <w:r>
        <w:t>include a description of the effect of</w:t>
      </w:r>
      <w:r w:rsidRPr="00C91320">
        <w:t xml:space="preserve"> the</w:t>
      </w:r>
      <w:r>
        <w:t>se obligations (as applicable)</w:t>
      </w:r>
      <w:r w:rsidRPr="00C91320">
        <w:t>.</w:t>
      </w:r>
      <w:r>
        <w:t xml:space="preserve"> </w:t>
      </w:r>
      <w:r w:rsidRPr="003D400F">
        <w:t xml:space="preserve">See </w:t>
      </w:r>
      <w:r w:rsidRPr="00521219">
        <w:t>Table 20 in</w:t>
      </w:r>
      <w:r w:rsidRPr="003D400F">
        <w:t xml:space="preserve"> </w:t>
      </w:r>
      <w:hyperlink r:id="rId33" w:history="1">
        <w:r w:rsidRPr="00E65C3D">
          <w:rPr>
            <w:rStyle w:val="Hyperlink"/>
          </w:rPr>
          <w:t>RG 261</w:t>
        </w:r>
      </w:hyperlink>
      <w:r w:rsidRPr="003D400F">
        <w:t xml:space="preserve"> for further guidance.</w:t>
      </w:r>
      <w:r>
        <w:t xml:space="preserve"> An illustrative example is provided below.</w:t>
      </w:r>
    </w:p>
    <w:p w14:paraId="60ED1BC3" w14:textId="1CB0984F" w:rsidR="000A48DE" w:rsidRDefault="000A48DE" w:rsidP="003A6E42">
      <w:pPr>
        <w:pStyle w:val="Heading3"/>
        <w:rPr>
          <w:spacing w:val="-2"/>
        </w:rPr>
      </w:pPr>
      <w:r>
        <w:t>Annual report</w:t>
      </w:r>
    </w:p>
    <w:p w14:paraId="3EDCAC25" w14:textId="320E93CD" w:rsidR="00E00126" w:rsidRDefault="00E00126" w:rsidP="00FF46CD">
      <w:pPr>
        <w:pStyle w:val="Templatecommentarytext"/>
      </w:pPr>
      <w:r>
        <w:t xml:space="preserve">This subsection is for small proprietary companies only. Delete if </w:t>
      </w:r>
      <w:r w:rsidR="00FE6730">
        <w:t>not needed.</w:t>
      </w:r>
    </w:p>
    <w:p w14:paraId="034EEEF2" w14:textId="274C440C" w:rsidR="000A48DE" w:rsidRDefault="001056DA" w:rsidP="003A6E42">
      <w:pPr>
        <w:pStyle w:val="BodyText"/>
      </w:pPr>
      <w:r>
        <w:t xml:space="preserve">While </w:t>
      </w:r>
      <w:r w:rsidR="00A9469F">
        <w:t>the</w:t>
      </w:r>
      <w:r>
        <w:t xml:space="preserve"> </w:t>
      </w:r>
      <w:r w:rsidR="000A48DE" w:rsidRPr="00680279">
        <w:t>Company is</w:t>
      </w:r>
      <w:r>
        <w:t xml:space="preserve"> currently a small proprietary company that is not required to prepare </w:t>
      </w:r>
      <w:r w:rsidR="000A48DE" w:rsidRPr="00680279">
        <w:t>annual financial reports and directo</w:t>
      </w:r>
      <w:r>
        <w:t>rs</w:t>
      </w:r>
      <w:r w:rsidR="00C7359B">
        <w:t>’</w:t>
      </w:r>
      <w:r>
        <w:t xml:space="preserve"> reports, if we successfully complete this </w:t>
      </w:r>
      <w:r w:rsidR="00167FE0">
        <w:t>O</w:t>
      </w:r>
      <w:r>
        <w:t xml:space="preserve">ffer, then we will be required to prepare and lodge these </w:t>
      </w:r>
      <w:r w:rsidR="00BA7263">
        <w:t xml:space="preserve">annual </w:t>
      </w:r>
      <w:r>
        <w:t>reports with ASIC (</w:t>
      </w:r>
      <w:r w:rsidR="000A48DE" w:rsidRPr="00680279">
        <w:t xml:space="preserve">within </w:t>
      </w:r>
      <w:r w:rsidR="000A48DE">
        <w:t>four</w:t>
      </w:r>
      <w:r w:rsidR="000A48DE" w:rsidRPr="00680279">
        <w:t xml:space="preserve"> months of the financial year</w:t>
      </w:r>
      <w:r w:rsidR="000A48DE">
        <w:t xml:space="preserve"> end</w:t>
      </w:r>
      <w:r w:rsidR="000A48DE" w:rsidRPr="00680279">
        <w:t>).</w:t>
      </w:r>
      <w:r w:rsidR="000A48DE">
        <w:t xml:space="preserve"> The Company has a 30 June year end and its financial reports must be lodged by 31 October each year.</w:t>
      </w:r>
    </w:p>
    <w:p w14:paraId="79351EE2" w14:textId="34F114C1" w:rsidR="000A48DE" w:rsidRDefault="001056DA" w:rsidP="000A48DE">
      <w:pPr>
        <w:pStyle w:val="BodyText"/>
      </w:pPr>
      <w:r>
        <w:t xml:space="preserve">Our financial reports are </w:t>
      </w:r>
      <w:r w:rsidR="006D5B11">
        <w:t xml:space="preserve">currently </w:t>
      </w:r>
      <w:r>
        <w:t>not required to be audited</w:t>
      </w:r>
      <w:r w:rsidR="000F5C87">
        <w:t xml:space="preserve"> </w:t>
      </w:r>
      <w:r w:rsidR="00863894">
        <w:t xml:space="preserve">as we are a small proprietary company. </w:t>
      </w:r>
      <w:r w:rsidR="000A48DE" w:rsidRPr="00680279">
        <w:t xml:space="preserve">This means that the </w:t>
      </w:r>
      <w:r w:rsidR="000A48DE">
        <w:t>C</w:t>
      </w:r>
      <w:r w:rsidR="000A48DE" w:rsidRPr="00680279">
        <w:t>ompany</w:t>
      </w:r>
      <w:r w:rsidR="00C7359B">
        <w:t>’</w:t>
      </w:r>
      <w:r w:rsidR="000A48DE" w:rsidRPr="00680279">
        <w:t>s financial reports will not be subject to auditor oversight</w:t>
      </w:r>
      <w:r w:rsidR="00D60CAE">
        <w:t>,</w:t>
      </w:r>
      <w:r w:rsidR="000A48DE">
        <w:t xml:space="preserve"> and, </w:t>
      </w:r>
      <w:r w:rsidR="000A48DE" w:rsidRPr="00680279">
        <w:t>there</w:t>
      </w:r>
      <w:r w:rsidR="000A48DE">
        <w:t>fore, there</w:t>
      </w:r>
      <w:r w:rsidR="000A48DE" w:rsidRPr="00680279">
        <w:t xml:space="preserve"> </w:t>
      </w:r>
      <w:r w:rsidR="000A48DE">
        <w:t>will be</w:t>
      </w:r>
      <w:r w:rsidR="000A48DE" w:rsidRPr="00680279">
        <w:t xml:space="preserve"> no independent assurance </w:t>
      </w:r>
      <w:r w:rsidR="000A48DE">
        <w:t>of</w:t>
      </w:r>
      <w:r w:rsidR="000A48DE" w:rsidRPr="00680279">
        <w:t xml:space="preserve"> the</w:t>
      </w:r>
      <w:r w:rsidR="000A48DE">
        <w:t xml:space="preserve"> Company</w:t>
      </w:r>
      <w:r w:rsidR="00C7359B">
        <w:t>’</w:t>
      </w:r>
      <w:r w:rsidR="000A48DE">
        <w:t>s</w:t>
      </w:r>
      <w:r w:rsidR="000A48DE" w:rsidRPr="00680279">
        <w:t xml:space="preserve"> financial statements.</w:t>
      </w:r>
      <w:r w:rsidR="00BA7263">
        <w:t xml:space="preserve"> </w:t>
      </w:r>
      <w:r w:rsidR="000A48DE">
        <w:t xml:space="preserve">However, the directors are still required to </w:t>
      </w:r>
      <w:r w:rsidR="00BA7263">
        <w:t>ensure</w:t>
      </w:r>
      <w:r w:rsidR="000A48DE">
        <w:t xml:space="preserve"> that the financial statements give a true and fair view of the Company</w:t>
      </w:r>
      <w:r w:rsidR="00C7359B">
        <w:t>’</w:t>
      </w:r>
      <w:r w:rsidR="000A48DE">
        <w:t>s financial position and performance</w:t>
      </w:r>
      <w:r w:rsidR="00D60CAE">
        <w:t>,</w:t>
      </w:r>
      <w:r w:rsidR="000A48DE">
        <w:t xml:space="preserve"> and that the financial statements comply with the accounting standards.</w:t>
      </w:r>
    </w:p>
    <w:p w14:paraId="2440F460" w14:textId="3DCFC4B9" w:rsidR="003303B3" w:rsidRDefault="000F5C87" w:rsidP="00A3218F">
      <w:pPr>
        <w:pStyle w:val="BodyText"/>
      </w:pPr>
      <w:r>
        <w:t xml:space="preserve">We </w:t>
      </w:r>
      <w:r w:rsidR="00D961DB">
        <w:t>may</w:t>
      </w:r>
      <w:r>
        <w:t xml:space="preserve"> be required to have our financial reports audited in </w:t>
      </w:r>
      <w:r w:rsidR="00FA1BF0">
        <w:t xml:space="preserve">the </w:t>
      </w:r>
      <w:r>
        <w:t>future if we raise more than $3 million from CSF offers</w:t>
      </w:r>
      <w:r w:rsidR="00863894">
        <w:t xml:space="preserve"> (including this current offer and any future offers)</w:t>
      </w:r>
      <w:r w:rsidR="00D60CAE">
        <w:t>,</w:t>
      </w:r>
      <w:r w:rsidR="00863894">
        <w:t xml:space="preserve"> or</w:t>
      </w:r>
      <w:r w:rsidR="00D60CAE">
        <w:t>,</w:t>
      </w:r>
      <w:r w:rsidR="00863894">
        <w:t xml:space="preserve"> otherwise</w:t>
      </w:r>
      <w:r w:rsidR="00D60CAE">
        <w:t>,</w:t>
      </w:r>
      <w:r w:rsidR="00863894">
        <w:t xml:space="preserve"> become a large proprietary company</w:t>
      </w:r>
      <w:r>
        <w:t>.</w:t>
      </w:r>
    </w:p>
    <w:p w14:paraId="05EEC25C" w14:textId="005BDC30" w:rsidR="000A48DE" w:rsidRDefault="000A48DE">
      <w:pPr>
        <w:pStyle w:val="Heading3"/>
        <w:rPr>
          <w:i/>
          <w:spacing w:val="-2"/>
        </w:rPr>
      </w:pPr>
      <w:r>
        <w:t>Distribution of annual report</w:t>
      </w:r>
    </w:p>
    <w:p w14:paraId="2E7D18A0" w14:textId="6CB40633" w:rsidR="00CA26A4" w:rsidRPr="00CA26A4" w:rsidRDefault="00CA26A4" w:rsidP="00FF46CD">
      <w:pPr>
        <w:pStyle w:val="Templatecommentarytext"/>
      </w:pPr>
      <w:r>
        <w:t xml:space="preserve">This subsection is for small proprietary companies only. Delete if </w:t>
      </w:r>
      <w:r w:rsidR="00FE6730">
        <w:t>not needed.</w:t>
      </w:r>
    </w:p>
    <w:p w14:paraId="0E4862D5" w14:textId="2213B092" w:rsidR="000A48DE" w:rsidRDefault="00C12FC4" w:rsidP="000A48DE">
      <w:pPr>
        <w:pStyle w:val="BodyText"/>
      </w:pPr>
      <w:r>
        <w:t>The Company is</w:t>
      </w:r>
      <w:r w:rsidR="000A48DE" w:rsidRPr="00680279">
        <w:t xml:space="preserve"> </w:t>
      </w:r>
      <w:r w:rsidR="000A48DE" w:rsidRPr="00F05BFA">
        <w:t>not</w:t>
      </w:r>
      <w:r w:rsidR="006949E0">
        <w:rPr>
          <w:b/>
        </w:rPr>
        <w:t xml:space="preserve"> </w:t>
      </w:r>
      <w:r w:rsidR="000A48DE" w:rsidRPr="00680279">
        <w:t>required to notify shareholders in writing of the options to receive or access the annual report.</w:t>
      </w:r>
      <w:r w:rsidR="00BA7263">
        <w:t xml:space="preserve"> </w:t>
      </w:r>
      <w:r w:rsidR="000A48DE">
        <w:t>S</w:t>
      </w:r>
      <w:r w:rsidR="000A48DE" w:rsidRPr="00680279">
        <w:t xml:space="preserve">hareholders will not be able to elect to receive a copy of the annual report by way of email or post. </w:t>
      </w:r>
      <w:r w:rsidR="000A48DE">
        <w:t>However, s</w:t>
      </w:r>
      <w:r w:rsidR="000A48DE" w:rsidRPr="00680279">
        <w:t xml:space="preserve">hareholders can access the annual report on the </w:t>
      </w:r>
      <w:r w:rsidR="000A48DE">
        <w:t>C</w:t>
      </w:r>
      <w:r w:rsidR="000A48DE" w:rsidRPr="00680279">
        <w:t>ompany</w:t>
      </w:r>
      <w:r w:rsidR="00C7359B">
        <w:t>’</w:t>
      </w:r>
      <w:r w:rsidR="000A48DE" w:rsidRPr="00680279">
        <w:t>s website at the following address</w:t>
      </w:r>
      <w:r w:rsidR="000A48DE" w:rsidRPr="00AF2E61">
        <w:rPr>
          <w:color w:val="244061"/>
        </w:rPr>
        <w:t xml:space="preserve"> </w:t>
      </w:r>
      <w:r w:rsidR="000A48DE" w:rsidRPr="00F75BB5">
        <w:t>[</w:t>
      </w:r>
      <w:r w:rsidR="000A48DE" w:rsidRPr="00F75BB5">
        <w:rPr>
          <w:i/>
        </w:rPr>
        <w:t>insert link to website</w:t>
      </w:r>
      <w:r w:rsidR="000A48DE" w:rsidRPr="00160AB5">
        <w:t>]</w:t>
      </w:r>
      <w:r w:rsidR="000A48DE" w:rsidRPr="00680279">
        <w:t xml:space="preserve"> </w:t>
      </w:r>
      <w:r w:rsidR="00742E31">
        <w:t xml:space="preserve">(free of charge) </w:t>
      </w:r>
      <w:r w:rsidR="000A48DE" w:rsidRPr="00680279">
        <w:t xml:space="preserve">or </w:t>
      </w:r>
      <w:r w:rsidR="00742E31">
        <w:t xml:space="preserve">can purchase the report </w:t>
      </w:r>
      <w:r w:rsidR="000A48DE" w:rsidRPr="00680279">
        <w:t>from ASIC.</w:t>
      </w:r>
    </w:p>
    <w:p w14:paraId="524C8453" w14:textId="1D621D26" w:rsidR="00D961DB" w:rsidRDefault="00D961DB" w:rsidP="00A3218F">
      <w:pPr>
        <w:pStyle w:val="Heading3"/>
      </w:pPr>
      <w:r w:rsidRPr="00D961DB">
        <w:t>Annual report</w:t>
      </w:r>
    </w:p>
    <w:p w14:paraId="7FA45140" w14:textId="19C829C5" w:rsidR="003D7A31" w:rsidRPr="00CA26A4" w:rsidRDefault="003D7A31" w:rsidP="003D7A31">
      <w:pPr>
        <w:pStyle w:val="Templatecommentarytext"/>
      </w:pPr>
      <w:r>
        <w:t xml:space="preserve">This subsection is for large proprietary companies only. Delete if </w:t>
      </w:r>
      <w:r w:rsidR="00FE6730">
        <w:t>not needed.</w:t>
      </w:r>
    </w:p>
    <w:p w14:paraId="53974D9D" w14:textId="34861CAF" w:rsidR="00025034" w:rsidRDefault="00025034" w:rsidP="00025034">
      <w:pPr>
        <w:pStyle w:val="BodyText"/>
        <w:keepNext/>
        <w:keepLines/>
      </w:pPr>
      <w:r w:rsidRPr="00680279">
        <w:lastRenderedPageBreak/>
        <w:t>The Company is required to prepare annual financial reports and directors</w:t>
      </w:r>
      <w:r w:rsidR="00C7359B">
        <w:t>’</w:t>
      </w:r>
      <w:r w:rsidRPr="00680279">
        <w:t xml:space="preserve"> reports at the end of each financial year and lodge these with ASIC (within </w:t>
      </w:r>
      <w:r>
        <w:t>four</w:t>
      </w:r>
      <w:r w:rsidRPr="00680279">
        <w:t xml:space="preserve"> months of the financial year</w:t>
      </w:r>
      <w:r>
        <w:t xml:space="preserve"> end</w:t>
      </w:r>
      <w:r w:rsidRPr="00680279">
        <w:t>).</w:t>
      </w:r>
      <w:r>
        <w:t xml:space="preserve"> The Company has a 30 June year end and its financial reports must be lodged by 31 October each year.</w:t>
      </w:r>
    </w:p>
    <w:p w14:paraId="4F524763" w14:textId="689CFCBD" w:rsidR="00D961DB" w:rsidRDefault="00025034" w:rsidP="009E418B">
      <w:pPr>
        <w:pStyle w:val="BodyText"/>
      </w:pPr>
      <w:r>
        <w:t>As a large proprietary company, our financial reports are audited by [</w:t>
      </w:r>
      <w:r w:rsidRPr="00A3218F">
        <w:rPr>
          <w:i/>
        </w:rPr>
        <w:t>insert name of audit firm]</w:t>
      </w:r>
      <w:r>
        <w:rPr>
          <w:i/>
        </w:rPr>
        <w:t xml:space="preserve"> </w:t>
      </w:r>
      <w:r>
        <w:t>and an auditor</w:t>
      </w:r>
      <w:r w:rsidR="00C7359B">
        <w:t>’</w:t>
      </w:r>
      <w:r>
        <w:t>s report is lodged with ASIC together with our financial report.</w:t>
      </w:r>
    </w:p>
    <w:p w14:paraId="7D3A6D23" w14:textId="49824529" w:rsidR="00D961DB" w:rsidRPr="00D961DB" w:rsidRDefault="000808E5" w:rsidP="00FF46CD">
      <w:pPr>
        <w:pStyle w:val="BodyText"/>
      </w:pPr>
      <w:r>
        <w:t>Shareholders can elect to receive the Company</w:t>
      </w:r>
      <w:r w:rsidR="00C7359B">
        <w:t>’</w:t>
      </w:r>
      <w:r>
        <w:t xml:space="preserve">s annual reports in </w:t>
      </w:r>
      <w:r w:rsidRPr="00354591">
        <w:t>hard copy or electronic copy free of charge</w:t>
      </w:r>
      <w:r>
        <w:t>,</w:t>
      </w:r>
      <w:r w:rsidRPr="00354591">
        <w:t xml:space="preserve"> or </w:t>
      </w:r>
      <w:r>
        <w:t xml:space="preserve">by </w:t>
      </w:r>
      <w:r w:rsidRPr="00354591">
        <w:t>access</w:t>
      </w:r>
      <w:r>
        <w:t>ing them on the C</w:t>
      </w:r>
      <w:r w:rsidRPr="00354591">
        <w:t>ompany</w:t>
      </w:r>
      <w:r w:rsidR="00C7359B">
        <w:t>’</w:t>
      </w:r>
      <w:r>
        <w:t>s website.</w:t>
      </w:r>
    </w:p>
    <w:p w14:paraId="4E5FB99C" w14:textId="205BD634" w:rsidR="006949E0" w:rsidRDefault="006949E0" w:rsidP="006949E0">
      <w:pPr>
        <w:pStyle w:val="Heading3"/>
      </w:pPr>
      <w:r w:rsidRPr="00BA7263">
        <w:t xml:space="preserve">Related </w:t>
      </w:r>
      <w:r w:rsidR="00167FE0">
        <w:t>p</w:t>
      </w:r>
      <w:r w:rsidRPr="00BA7263">
        <w:t xml:space="preserve">arty </w:t>
      </w:r>
      <w:r w:rsidR="00167FE0">
        <w:t>t</w:t>
      </w:r>
      <w:r w:rsidRPr="00BA7263">
        <w:t>ransactions</w:t>
      </w:r>
    </w:p>
    <w:p w14:paraId="6D388C75" w14:textId="646AE974" w:rsidR="00D862BB" w:rsidRPr="00CA26A4" w:rsidRDefault="00FE6730" w:rsidP="00D862BB">
      <w:pPr>
        <w:pStyle w:val="Templatecommentarytext"/>
      </w:pPr>
      <w:r>
        <w:t xml:space="preserve">This subsection is for </w:t>
      </w:r>
      <w:r w:rsidR="00D862BB">
        <w:t>small and large proprietary companies</w:t>
      </w:r>
      <w:r>
        <w:t>.</w:t>
      </w:r>
    </w:p>
    <w:p w14:paraId="48714629" w14:textId="680FD294" w:rsidR="006949E0" w:rsidRPr="00BA7263" w:rsidRDefault="00370362" w:rsidP="00BA7263">
      <w:pPr>
        <w:pStyle w:val="BodyText"/>
      </w:pPr>
      <w:r>
        <w:t xml:space="preserve">If we successfully complete this </w:t>
      </w:r>
      <w:r w:rsidR="00167FE0">
        <w:t>O</w:t>
      </w:r>
      <w:r>
        <w:t>ffer, the rules on</w:t>
      </w:r>
      <w:r w:rsidR="006949E0" w:rsidRPr="00BA7263">
        <w:t xml:space="preserve"> related party transactions in Ch</w:t>
      </w:r>
      <w:r w:rsidR="00167FE0">
        <w:t>apter</w:t>
      </w:r>
      <w:r w:rsidR="006949E0" w:rsidRPr="00BA7263">
        <w:t xml:space="preserve"> 2E </w:t>
      </w:r>
      <w:r>
        <w:t xml:space="preserve">of the Corporations Act will apply to </w:t>
      </w:r>
      <w:r w:rsidR="00167FE0">
        <w:t>the</w:t>
      </w:r>
      <w:r>
        <w:t xml:space="preserve"> C</w:t>
      </w:r>
      <w:r w:rsidR="006949E0" w:rsidRPr="00BA7263">
        <w:t>ompany</w:t>
      </w:r>
      <w:r>
        <w:t xml:space="preserve"> (for so long as we continue to have CSF shareholders)</w:t>
      </w:r>
      <w:r w:rsidR="008122A7">
        <w:t>. This means that the C</w:t>
      </w:r>
      <w:r w:rsidR="006949E0" w:rsidRPr="00BA7263">
        <w:t>ompany is required to obtain shareholder approval before giving financial benefits to related parties of the company (e.g. directors and their spouses, children or parents), subject to certain exceptions</w:t>
      </w:r>
      <w:r w:rsidR="00BA2A3A">
        <w:t xml:space="preserve"> (such as reasonable remuneration provided to directors)</w:t>
      </w:r>
      <w:r w:rsidR="006949E0" w:rsidRPr="00BA7263">
        <w:t>.</w:t>
      </w:r>
    </w:p>
    <w:p w14:paraId="6A043C83" w14:textId="587CB595" w:rsidR="006949E0" w:rsidRPr="00BA7263" w:rsidRDefault="006949E0" w:rsidP="006949E0">
      <w:pPr>
        <w:pStyle w:val="Heading3"/>
      </w:pPr>
      <w:r w:rsidRPr="00BA7263">
        <w:t>Takeovers</w:t>
      </w:r>
    </w:p>
    <w:p w14:paraId="6E84018F" w14:textId="77777777" w:rsidR="00FE6730" w:rsidRPr="00CA26A4" w:rsidRDefault="00FE6730" w:rsidP="00FE6730">
      <w:pPr>
        <w:pStyle w:val="Templatecommentarytext"/>
      </w:pPr>
      <w:r>
        <w:t>This subsection is for small and large proprietary companies.</w:t>
      </w:r>
    </w:p>
    <w:p w14:paraId="63C783EB" w14:textId="40D16027" w:rsidR="00317452" w:rsidRDefault="00317452" w:rsidP="00BA7263">
      <w:pPr>
        <w:pStyle w:val="BodyText"/>
      </w:pPr>
      <w:r>
        <w:t xml:space="preserve">If we successfully complete this </w:t>
      </w:r>
      <w:r w:rsidR="00E539F9">
        <w:t>O</w:t>
      </w:r>
      <w:r>
        <w:t>ffer and have more than 50 shareholders, the takeover rules in the Corporations Act will only apply to the Company i</w:t>
      </w:r>
      <w:r w:rsidR="00E539F9">
        <w:t>n</w:t>
      </w:r>
      <w:r>
        <w:t xml:space="preserve"> a </w:t>
      </w:r>
      <w:r w:rsidR="00884154">
        <w:t xml:space="preserve">very </w:t>
      </w:r>
      <w:r>
        <w:t>limited way.</w:t>
      </w:r>
      <w:r w:rsidR="00884154">
        <w:t xml:space="preserve"> If someone wants to </w:t>
      </w:r>
      <w:r w:rsidR="002C0017">
        <w:t>buy</w:t>
      </w:r>
      <w:r w:rsidR="00884154">
        <w:t xml:space="preserve"> more than 20% of the voting shares in </w:t>
      </w:r>
      <w:r w:rsidR="002C0017">
        <w:t>the Company</w:t>
      </w:r>
      <w:r w:rsidR="00884154">
        <w:t xml:space="preserve">, they will be able to do </w:t>
      </w:r>
      <w:r w:rsidR="002C0017">
        <w:t xml:space="preserve">so </w:t>
      </w:r>
      <w:r w:rsidR="00884154">
        <w:t xml:space="preserve">without complying with the takeover rules. This means </w:t>
      </w:r>
      <w:r w:rsidR="001D7F11">
        <w:t xml:space="preserve">that </w:t>
      </w:r>
      <w:r w:rsidR="00884154">
        <w:t xml:space="preserve">a person may be able to get control of the Company without making a formal takeover bid </w:t>
      </w:r>
      <w:r w:rsidR="002C0017">
        <w:t xml:space="preserve">to all shareholders </w:t>
      </w:r>
      <w:r w:rsidR="00884154">
        <w:t>or</w:t>
      </w:r>
      <w:r w:rsidR="002C0017">
        <w:t xml:space="preserve"> without</w:t>
      </w:r>
      <w:r w:rsidR="00884154">
        <w:t xml:space="preserve"> seeking shareholder approval.</w:t>
      </w:r>
    </w:p>
    <w:p w14:paraId="58FD1588" w14:textId="6A620474" w:rsidR="00923612" w:rsidRDefault="00884154" w:rsidP="00BA7263">
      <w:pPr>
        <w:pStyle w:val="BodyText"/>
      </w:pPr>
      <w:r>
        <w:t>S</w:t>
      </w:r>
      <w:r w:rsidR="006949E0" w:rsidRPr="00BA7263">
        <w:t xml:space="preserve">hareholders will not have the benefit of the </w:t>
      </w:r>
      <w:r w:rsidR="002C0017">
        <w:t xml:space="preserve">full </w:t>
      </w:r>
      <w:r w:rsidR="006949E0" w:rsidRPr="00BA7263">
        <w:t xml:space="preserve">protections under the takeover rules, which means </w:t>
      </w:r>
      <w:r w:rsidR="002C0017">
        <w:t>you</w:t>
      </w:r>
      <w:r w:rsidR="006949E0" w:rsidRPr="00BA7263">
        <w:t xml:space="preserve"> may not have the right to vote on or participate in a change of control of the company.</w:t>
      </w:r>
      <w:r>
        <w:t xml:space="preserve"> However, the general principles </w:t>
      </w:r>
      <w:r w:rsidR="002C0017">
        <w:t>of ensuring</w:t>
      </w:r>
      <w:r>
        <w:t xml:space="preserve"> shareholders have sufficient information and time to consider a change of control</w:t>
      </w:r>
      <w:r w:rsidR="00E539F9">
        <w:t>,</w:t>
      </w:r>
      <w:r>
        <w:t xml:space="preserve"> and all have a reasonable and equal opportunity to participate in any benefits</w:t>
      </w:r>
      <w:r w:rsidR="00E539F9">
        <w:t>,</w:t>
      </w:r>
      <w:r>
        <w:t xml:space="preserve"> </w:t>
      </w:r>
      <w:r w:rsidR="002C0017">
        <w:t>will</w:t>
      </w:r>
      <w:r>
        <w:t xml:space="preserve"> </w:t>
      </w:r>
      <w:r w:rsidR="002C0017">
        <w:t>apply to the Company</w:t>
      </w:r>
      <w:r>
        <w:t xml:space="preserve">. </w:t>
      </w:r>
      <w:r w:rsidR="002C0017">
        <w:t>In addition, t</w:t>
      </w:r>
      <w:r w:rsidRPr="00A04671">
        <w:t xml:space="preserve">he Takeovers Panel </w:t>
      </w:r>
      <w:r>
        <w:t>has jurisdiction to hear disputes relating to control of the Company.</w:t>
      </w:r>
    </w:p>
    <w:p w14:paraId="4CB8AFCA" w14:textId="178896F4" w:rsidR="006D5B11" w:rsidRPr="004C0C57" w:rsidRDefault="006D5B11" w:rsidP="00A3218F">
      <w:pPr>
        <w:pStyle w:val="Heading2"/>
        <w:ind w:left="142" w:firstLine="0"/>
        <w:rPr>
          <w:spacing w:val="-2"/>
        </w:rPr>
      </w:pPr>
      <w:bookmarkStart w:id="60" w:name="_Toc526771244"/>
      <w:r w:rsidRPr="00A3218F">
        <w:rPr>
          <w:spacing w:val="-2"/>
        </w:rPr>
        <w:t>Public</w:t>
      </w:r>
      <w:r w:rsidRPr="004C0C57">
        <w:rPr>
          <w:spacing w:val="-2"/>
        </w:rPr>
        <w:t xml:space="preserve"> company corporate governance concessions</w:t>
      </w:r>
      <w:bookmarkEnd w:id="60"/>
    </w:p>
    <w:p w14:paraId="55160D06" w14:textId="3B01118D" w:rsidR="00AD556D" w:rsidRDefault="00AD556D" w:rsidP="006D5B11">
      <w:pPr>
        <w:pStyle w:val="Templatecommentarytext"/>
      </w:pPr>
      <w:r>
        <w:t>This subsection is for eligible public companies.</w:t>
      </w:r>
      <w:r w:rsidR="00FE6730">
        <w:t xml:space="preserve"> Delete if not needed.</w:t>
      </w:r>
    </w:p>
    <w:p w14:paraId="643CC507" w14:textId="731B2DD2" w:rsidR="006D5B11" w:rsidRPr="003D400F" w:rsidRDefault="000F5C87" w:rsidP="006D5B11">
      <w:pPr>
        <w:pStyle w:val="Templatecommentarytext"/>
      </w:pPr>
      <w:r>
        <w:t>Although th</w:t>
      </w:r>
      <w:r w:rsidR="00F209BB">
        <w:t>e illustrative example in this</w:t>
      </w:r>
      <w:r>
        <w:t xml:space="preserve"> template</w:t>
      </w:r>
      <w:r w:rsidR="001D7F11">
        <w:t xml:space="preserve"> </w:t>
      </w:r>
      <w:r w:rsidR="00F209BB">
        <w:t>uses</w:t>
      </w:r>
      <w:r>
        <w:t xml:space="preserve"> a proprietary company, i</w:t>
      </w:r>
      <w:r w:rsidR="006D5B11">
        <w:t>f your company is a public company relying on the temporary concessions from certain audit, reporting and corporate governance obligations of public companies, then include a description of the effect of</w:t>
      </w:r>
      <w:r w:rsidR="006D5B11" w:rsidRPr="00C91320">
        <w:t xml:space="preserve"> the</w:t>
      </w:r>
      <w:r w:rsidR="006D5B11">
        <w:t xml:space="preserve">se </w:t>
      </w:r>
      <w:r w:rsidR="006D5B11" w:rsidRPr="00C91320">
        <w:t>concessions</w:t>
      </w:r>
      <w:r w:rsidR="006D5B11">
        <w:t xml:space="preserve"> (as applicable)</w:t>
      </w:r>
      <w:r w:rsidR="006D5B11" w:rsidRPr="00C91320">
        <w:t>.</w:t>
      </w:r>
      <w:r w:rsidR="006D5B11">
        <w:t xml:space="preserve"> </w:t>
      </w:r>
      <w:r w:rsidR="006D5B11" w:rsidRPr="003D400F">
        <w:t xml:space="preserve">See </w:t>
      </w:r>
      <w:r w:rsidR="006D5B11" w:rsidRPr="00521219">
        <w:t>Table 20 in</w:t>
      </w:r>
      <w:r w:rsidR="006D5B11" w:rsidRPr="003D400F">
        <w:t xml:space="preserve"> </w:t>
      </w:r>
      <w:hyperlink r:id="rId34" w:history="1">
        <w:r w:rsidR="006D5B11" w:rsidRPr="00E65C3D">
          <w:rPr>
            <w:rStyle w:val="Hyperlink"/>
          </w:rPr>
          <w:t>RG 261</w:t>
        </w:r>
      </w:hyperlink>
      <w:r w:rsidR="006D5B11" w:rsidRPr="003D400F">
        <w:t xml:space="preserve"> for further guidance.</w:t>
      </w:r>
      <w:r w:rsidR="006D5B11">
        <w:t xml:space="preserve"> An illustrative example is provided below.</w:t>
      </w:r>
    </w:p>
    <w:p w14:paraId="0A5F85EC" w14:textId="13C06716" w:rsidR="006D5B11" w:rsidRPr="005811CA" w:rsidRDefault="006D5B11" w:rsidP="006D5B11">
      <w:pPr>
        <w:pStyle w:val="Heading3"/>
      </w:pPr>
      <w:r w:rsidRPr="005811CA">
        <w:lastRenderedPageBreak/>
        <w:t xml:space="preserve">Annual </w:t>
      </w:r>
      <w:r>
        <w:t>g</w:t>
      </w:r>
      <w:r w:rsidRPr="005811CA">
        <w:t xml:space="preserve">eneral </w:t>
      </w:r>
      <w:r>
        <w:t>m</w:t>
      </w:r>
      <w:r w:rsidRPr="005811CA">
        <w:t>eetings</w:t>
      </w:r>
    </w:p>
    <w:p w14:paraId="0DA16330" w14:textId="17B4BA6C" w:rsidR="006D5B11" w:rsidRPr="000C3A0B" w:rsidRDefault="006D5B11" w:rsidP="006D5B11">
      <w:pPr>
        <w:pStyle w:val="BodyText"/>
      </w:pPr>
      <w:r w:rsidRPr="00AE40BC">
        <w:t xml:space="preserve">The Company is not </w:t>
      </w:r>
      <w:r w:rsidRPr="000C3A0B">
        <w:t xml:space="preserve">required to hold an </w:t>
      </w:r>
      <w:r w:rsidRPr="00AE40BC">
        <w:t>annual general meeting (AGM) for up to five years from its registration/conversion to a public company – being [</w:t>
      </w:r>
      <w:r w:rsidRPr="00AE40BC">
        <w:rPr>
          <w:i/>
        </w:rPr>
        <w:t>insert date</w:t>
      </w:r>
      <w:r w:rsidRPr="00AE40BC">
        <w:t>]</w:t>
      </w:r>
      <w:r w:rsidRPr="00F93E88">
        <w:t xml:space="preserve"> (assuming the </w:t>
      </w:r>
      <w:r w:rsidRPr="000C3A0B">
        <w:t xml:space="preserve">Company </w:t>
      </w:r>
      <w:r w:rsidRPr="00AE40BC">
        <w:t>continues to meet the eligibility requirements).</w:t>
      </w:r>
    </w:p>
    <w:p w14:paraId="0366E19D" w14:textId="77777777" w:rsidR="006D5B11" w:rsidRPr="00680279" w:rsidRDefault="006D5B11" w:rsidP="006D5B11">
      <w:pPr>
        <w:pStyle w:val="BodyText"/>
      </w:pPr>
      <w:r w:rsidRPr="00680279">
        <w:t xml:space="preserve">This means that shareholders will not be provided with an opportunity to directly question </w:t>
      </w:r>
      <w:r>
        <w:t xml:space="preserve">the </w:t>
      </w:r>
      <w:r w:rsidRPr="00680279">
        <w:t>directors and management in an open forum about the management</w:t>
      </w:r>
      <w:r>
        <w:t>,</w:t>
      </w:r>
      <w:r w:rsidRPr="00680279">
        <w:t xml:space="preserve"> business operations</w:t>
      </w:r>
      <w:r>
        <w:t>,</w:t>
      </w:r>
      <w:r w:rsidRPr="00680279">
        <w:t xml:space="preserve"> financ</w:t>
      </w:r>
      <w:r>
        <w:t>ial position or performance</w:t>
      </w:r>
      <w:r w:rsidRPr="00680279">
        <w:t xml:space="preserve"> of the </w:t>
      </w:r>
      <w:r>
        <w:t>C</w:t>
      </w:r>
      <w:r w:rsidRPr="00680279">
        <w:t>ompany, as this would usually take place at the AGM.</w:t>
      </w:r>
    </w:p>
    <w:p w14:paraId="1CE9E7DA" w14:textId="77777777" w:rsidR="006D5B11" w:rsidRPr="00680279" w:rsidRDefault="006D5B11" w:rsidP="006D5B11">
      <w:pPr>
        <w:pStyle w:val="BodyText"/>
      </w:pPr>
      <w:r w:rsidRPr="00680279">
        <w:t>However, the directors of the Company may still be required to hold a general meeting in other circumstances, for example, where requested to by shareholders with at least 5</w:t>
      </w:r>
      <w:r>
        <w:t>%</w:t>
      </w:r>
      <w:r w:rsidRPr="00680279">
        <w:t xml:space="preserve"> of the votes that may be </w:t>
      </w:r>
      <w:r>
        <w:t>cast</w:t>
      </w:r>
      <w:r w:rsidRPr="00680279">
        <w:t xml:space="preserve"> at a general meeting.</w:t>
      </w:r>
    </w:p>
    <w:p w14:paraId="5470694A" w14:textId="77777777" w:rsidR="006D5B11" w:rsidRPr="000A6D7F" w:rsidRDefault="006D5B11" w:rsidP="006D5B11">
      <w:pPr>
        <w:pStyle w:val="BodyText"/>
        <w:rPr>
          <w:i/>
        </w:rPr>
      </w:pPr>
      <w:r w:rsidRPr="00680279">
        <w:t xml:space="preserve">If shareholders have any queries or concerns about the Company, </w:t>
      </w:r>
      <w:r>
        <w:t>they should</w:t>
      </w:r>
      <w:r w:rsidRPr="00680279">
        <w:t xml:space="preserve"> contact the </w:t>
      </w:r>
      <w:r>
        <w:t>c</w:t>
      </w:r>
      <w:r w:rsidRPr="00680279">
        <w:t xml:space="preserve">ompany </w:t>
      </w:r>
      <w:r>
        <w:t>s</w:t>
      </w:r>
      <w:r w:rsidRPr="00680279">
        <w:t>ecretary directly.</w:t>
      </w:r>
      <w:r>
        <w:rPr>
          <w:i/>
        </w:rPr>
        <w:t xml:space="preserve"> </w:t>
      </w:r>
      <w:r w:rsidRPr="00D66B90">
        <w:t>[</w:t>
      </w:r>
      <w:r w:rsidRPr="000A6D7F">
        <w:rPr>
          <w:i/>
        </w:rPr>
        <w:t>Insert contact details for company secretary</w:t>
      </w:r>
      <w:r w:rsidRPr="00D66B90">
        <w:t>]</w:t>
      </w:r>
    </w:p>
    <w:p w14:paraId="77842694" w14:textId="77777777" w:rsidR="006D5B11" w:rsidRDefault="006D5B11" w:rsidP="006D5B11">
      <w:pPr>
        <w:pStyle w:val="Heading3"/>
        <w:keepLines/>
      </w:pPr>
      <w:r>
        <w:t>Annual report</w:t>
      </w:r>
    </w:p>
    <w:p w14:paraId="23C8EEC8" w14:textId="22780B69" w:rsidR="006D5B11" w:rsidRPr="00680279" w:rsidRDefault="006D5B11" w:rsidP="006D5B11">
      <w:pPr>
        <w:pStyle w:val="BodyText"/>
        <w:keepNext/>
        <w:keepLines/>
      </w:pPr>
      <w:r w:rsidRPr="00680279">
        <w:t>The Company is required to prepare annual financial reports and directors</w:t>
      </w:r>
      <w:r w:rsidR="00C7359B">
        <w:t>’</w:t>
      </w:r>
      <w:r w:rsidRPr="00680279">
        <w:t xml:space="preserve"> reports at the end of each financial year and lodge these with ASIC (within </w:t>
      </w:r>
      <w:r>
        <w:t>four</w:t>
      </w:r>
      <w:r w:rsidRPr="00680279">
        <w:t xml:space="preserve"> months of the financial year</w:t>
      </w:r>
      <w:r>
        <w:t xml:space="preserve"> end</w:t>
      </w:r>
      <w:r w:rsidRPr="00680279">
        <w:t>).</w:t>
      </w:r>
      <w:r>
        <w:t xml:space="preserve"> The Company has a 30 June year end and its financial reports must be lodged by 31 October each year.</w:t>
      </w:r>
    </w:p>
    <w:p w14:paraId="6E7D4199" w14:textId="77777777" w:rsidR="006D5B11" w:rsidRPr="00680279" w:rsidRDefault="006D5B11" w:rsidP="006D5B11">
      <w:pPr>
        <w:pStyle w:val="BodyText"/>
        <w:keepNext/>
      </w:pPr>
      <w:r w:rsidRPr="00680279">
        <w:t xml:space="preserve">Provided the Company continues to </w:t>
      </w:r>
      <w:r>
        <w:t>meet the eligibility</w:t>
      </w:r>
      <w:r w:rsidRPr="00680279">
        <w:t xml:space="preserve"> </w:t>
      </w:r>
      <w:r>
        <w:t>requirements</w:t>
      </w:r>
      <w:r w:rsidRPr="00680279">
        <w:t xml:space="preserve"> under the </w:t>
      </w:r>
      <w:r>
        <w:t>CSF</w:t>
      </w:r>
      <w:r w:rsidRPr="00680279">
        <w:t xml:space="preserve"> regime, the Company is </w:t>
      </w:r>
      <w:r w:rsidRPr="00680279">
        <w:rPr>
          <w:b/>
        </w:rPr>
        <w:t xml:space="preserve">not </w:t>
      </w:r>
      <w:r w:rsidRPr="00680279">
        <w:t xml:space="preserve">required to have its financial reports audited for up to </w:t>
      </w:r>
      <w:r>
        <w:t>five</w:t>
      </w:r>
      <w:r w:rsidRPr="00680279">
        <w:t xml:space="preserve"> years from its conversion to a public company – bei</w:t>
      </w:r>
      <w:r>
        <w:t>ng</w:t>
      </w:r>
      <w:r w:rsidRPr="00680279">
        <w:t xml:space="preserve"> </w:t>
      </w:r>
      <w:r w:rsidRPr="00D66B90">
        <w:t>[</w:t>
      </w:r>
      <w:r w:rsidRPr="00F75BB5">
        <w:rPr>
          <w:i/>
        </w:rPr>
        <w:t>insert date</w:t>
      </w:r>
      <w:r w:rsidRPr="00D66B90">
        <w:t>]</w:t>
      </w:r>
      <w:r w:rsidRPr="00F75BB5">
        <w:rPr>
          <w:i/>
        </w:rPr>
        <w:t>.</w:t>
      </w:r>
    </w:p>
    <w:p w14:paraId="564A8DB5" w14:textId="48C4B2E6" w:rsidR="006D5B11" w:rsidRDefault="006D5B11" w:rsidP="006D5B11">
      <w:pPr>
        <w:pStyle w:val="BodyText"/>
      </w:pPr>
      <w:r w:rsidRPr="00680279">
        <w:t xml:space="preserve">This means that the </w:t>
      </w:r>
      <w:r>
        <w:t>C</w:t>
      </w:r>
      <w:r w:rsidRPr="00680279">
        <w:t>ompany</w:t>
      </w:r>
      <w:r w:rsidR="00C7359B">
        <w:t>’</w:t>
      </w:r>
      <w:r w:rsidRPr="00680279">
        <w:t>s financial reports will not be subject to auditor oversight</w:t>
      </w:r>
      <w:r w:rsidR="001D7F11">
        <w:t>,</w:t>
      </w:r>
      <w:r>
        <w:t xml:space="preserve"> and, </w:t>
      </w:r>
      <w:r w:rsidRPr="00680279">
        <w:t>there</w:t>
      </w:r>
      <w:r>
        <w:t>fore, there</w:t>
      </w:r>
      <w:r w:rsidRPr="00680279">
        <w:t xml:space="preserve"> </w:t>
      </w:r>
      <w:r>
        <w:t>will be</w:t>
      </w:r>
      <w:r w:rsidRPr="00680279">
        <w:t xml:space="preserve"> no independent assurance </w:t>
      </w:r>
      <w:r>
        <w:t>of</w:t>
      </w:r>
      <w:r w:rsidRPr="00680279">
        <w:t xml:space="preserve"> the</w:t>
      </w:r>
      <w:r>
        <w:t xml:space="preserve"> Company</w:t>
      </w:r>
      <w:r w:rsidR="00C7359B">
        <w:t>’</w:t>
      </w:r>
      <w:r>
        <w:t>s</w:t>
      </w:r>
      <w:r w:rsidRPr="00680279">
        <w:t xml:space="preserve"> financial statements.</w:t>
      </w:r>
    </w:p>
    <w:p w14:paraId="052B2DCD" w14:textId="2A349778" w:rsidR="006D5B11" w:rsidRDefault="006D5B11" w:rsidP="006D5B11">
      <w:pPr>
        <w:pStyle w:val="BodyText"/>
      </w:pPr>
      <w:r>
        <w:t>However, the directors of the Company are still required to make a declaration that the financial statements give a true and fair view of the Company</w:t>
      </w:r>
      <w:r w:rsidR="00C7359B">
        <w:t>’</w:t>
      </w:r>
      <w:r>
        <w:t>s financial position and performance and that the financial statements comply with the accounting standards.</w:t>
      </w:r>
    </w:p>
    <w:p w14:paraId="6488CB2A" w14:textId="77777777" w:rsidR="006D5B11" w:rsidRDefault="006D5B11" w:rsidP="006D5B11">
      <w:pPr>
        <w:pStyle w:val="Heading3"/>
      </w:pPr>
      <w:r>
        <w:t>Distribution of annual report</w:t>
      </w:r>
    </w:p>
    <w:p w14:paraId="6EE70536" w14:textId="77777777" w:rsidR="006D5B11" w:rsidRPr="00680279" w:rsidRDefault="006D5B11" w:rsidP="006D5B11">
      <w:pPr>
        <w:pStyle w:val="BodyText"/>
      </w:pPr>
      <w:r w:rsidRPr="00680279">
        <w:t xml:space="preserve">Provided the Company continues to </w:t>
      </w:r>
      <w:r>
        <w:t>meet the</w:t>
      </w:r>
      <w:r w:rsidRPr="00680279">
        <w:t xml:space="preserve"> eligib</w:t>
      </w:r>
      <w:r>
        <w:t>ility requirements</w:t>
      </w:r>
      <w:r w:rsidRPr="00680279">
        <w:t xml:space="preserve"> under the </w:t>
      </w:r>
      <w:r>
        <w:t>CSF</w:t>
      </w:r>
      <w:r w:rsidRPr="00680279">
        <w:t xml:space="preserve"> regime, the Company is </w:t>
      </w:r>
      <w:r w:rsidRPr="006B2552">
        <w:rPr>
          <w:b/>
        </w:rPr>
        <w:t>not</w:t>
      </w:r>
      <w:r w:rsidRPr="00680279">
        <w:t xml:space="preserve"> required to notify shareholders in writing of the options to receive or access the annual report.</w:t>
      </w:r>
    </w:p>
    <w:p w14:paraId="2FBFEB98" w14:textId="238FDF3B" w:rsidR="006D5B11" w:rsidRDefault="006D5B11" w:rsidP="006D5B11">
      <w:pPr>
        <w:pStyle w:val="BodyText"/>
      </w:pPr>
      <w:r>
        <w:t>S</w:t>
      </w:r>
      <w:r w:rsidRPr="00680279">
        <w:t xml:space="preserve">hareholders will not be able to elect to receive a copy of the annual report by way of email or post. </w:t>
      </w:r>
      <w:r>
        <w:t>However, s</w:t>
      </w:r>
      <w:r w:rsidRPr="00680279">
        <w:t xml:space="preserve">hareholders can access the annual report on the </w:t>
      </w:r>
      <w:r>
        <w:t>C</w:t>
      </w:r>
      <w:r w:rsidRPr="00680279">
        <w:t>ompany</w:t>
      </w:r>
      <w:r w:rsidR="00C7359B">
        <w:t>’</w:t>
      </w:r>
      <w:r w:rsidRPr="00680279">
        <w:t>s website at the following address</w:t>
      </w:r>
      <w:r w:rsidRPr="00AF2E61">
        <w:rPr>
          <w:color w:val="244061"/>
        </w:rPr>
        <w:t xml:space="preserve"> </w:t>
      </w:r>
      <w:r w:rsidRPr="00F75BB5">
        <w:t>[</w:t>
      </w:r>
      <w:r w:rsidRPr="00F75BB5">
        <w:rPr>
          <w:i/>
        </w:rPr>
        <w:t>insert link to website</w:t>
      </w:r>
      <w:r w:rsidRPr="00160AB5">
        <w:t>]</w:t>
      </w:r>
      <w:r w:rsidRPr="00680279">
        <w:t xml:space="preserve"> </w:t>
      </w:r>
      <w:r>
        <w:t xml:space="preserve">(free of charge) </w:t>
      </w:r>
      <w:r w:rsidRPr="00680279">
        <w:t xml:space="preserve">or </w:t>
      </w:r>
      <w:r>
        <w:t xml:space="preserve">can purchase the report </w:t>
      </w:r>
      <w:r w:rsidRPr="00680279">
        <w:t>from ASIC.</w:t>
      </w:r>
    </w:p>
    <w:p w14:paraId="71D48AFB" w14:textId="2A346260" w:rsidR="000E550A" w:rsidRPr="00B83D3D" w:rsidRDefault="000E550A" w:rsidP="004437F2">
      <w:pPr>
        <w:pStyle w:val="Heading1"/>
        <w:numPr>
          <w:ilvl w:val="0"/>
          <w:numId w:val="0"/>
        </w:numPr>
      </w:pPr>
      <w:bookmarkStart w:id="61" w:name="_Toc526771245"/>
      <w:r w:rsidRPr="00B83D3D">
        <w:lastRenderedPageBreak/>
        <w:t>Glossary</w:t>
      </w:r>
      <w:bookmarkEnd w:id="61"/>
    </w:p>
    <w:p w14:paraId="01E4C289" w14:textId="2A2BE8E7" w:rsidR="000E550A" w:rsidRPr="00EE434A" w:rsidRDefault="001914FF" w:rsidP="00302070">
      <w:pPr>
        <w:pStyle w:val="Templatecommentarytext"/>
      </w:pPr>
      <w:r>
        <w:t xml:space="preserve">You may wish to include a glossary containing definitions of the key terms used in your </w:t>
      </w:r>
      <w:r w:rsidR="00B63E4A">
        <w:t>company</w:t>
      </w:r>
      <w:r w:rsidR="00C7359B">
        <w:t>’</w:t>
      </w:r>
      <w:r w:rsidR="00B63E4A">
        <w:t xml:space="preserve">s </w:t>
      </w:r>
      <w:r>
        <w:t xml:space="preserve">CSF offer document. </w:t>
      </w:r>
      <w:r w:rsidR="000E550A" w:rsidRPr="00EE434A">
        <w:t>The wording below is for illustrative purposes only.</w:t>
      </w:r>
    </w:p>
    <w:p w14:paraId="4007C548" w14:textId="195F59EA" w:rsidR="000E550A" w:rsidRDefault="000E550A" w:rsidP="00CF3399">
      <w:pPr>
        <w:pStyle w:val="BodyText"/>
      </w:pPr>
      <w:r w:rsidRPr="00BB7658">
        <w:rPr>
          <w:b/>
          <w:i/>
        </w:rPr>
        <w:t xml:space="preserve">Company </w:t>
      </w:r>
      <w:r w:rsidRPr="00BB7658">
        <w:t xml:space="preserve">means New Co </w:t>
      </w:r>
      <w:r w:rsidR="00AC0E88">
        <w:t xml:space="preserve">Pty </w:t>
      </w:r>
      <w:r w:rsidRPr="00BB7658">
        <w:t>Ltd ACN 123 456 789</w:t>
      </w:r>
    </w:p>
    <w:p w14:paraId="052827E4" w14:textId="77777777" w:rsidR="00AC7A88" w:rsidRPr="003A4047" w:rsidRDefault="000E550A" w:rsidP="00CF3399">
      <w:pPr>
        <w:pStyle w:val="BodyText"/>
      </w:pPr>
      <w:r w:rsidRPr="00F75BB5">
        <w:rPr>
          <w:b/>
          <w:i/>
        </w:rPr>
        <w:t>Cooling-off Period</w:t>
      </w:r>
      <w:r>
        <w:t xml:space="preserve"> means the period ending </w:t>
      </w:r>
      <w:r w:rsidR="00B63E4A">
        <w:t>five</w:t>
      </w:r>
      <w:r>
        <w:t xml:space="preserve"> business days after an application is made under this Offer, during which an investor has a right to withdraw their application and be repaid their application money</w:t>
      </w:r>
    </w:p>
    <w:p w14:paraId="708EF9F1" w14:textId="77777777" w:rsidR="000E550A" w:rsidRPr="00BB7658" w:rsidRDefault="000E550A" w:rsidP="00CF3399">
      <w:pPr>
        <w:pStyle w:val="BodyText"/>
      </w:pPr>
      <w:r>
        <w:rPr>
          <w:b/>
          <w:i/>
        </w:rPr>
        <w:t xml:space="preserve">CSF </w:t>
      </w:r>
      <w:r w:rsidRPr="00BB7658">
        <w:t>means crowd-sourced funding under Part 6D.3A of the Corporations Act</w:t>
      </w:r>
    </w:p>
    <w:p w14:paraId="38178185" w14:textId="77777777" w:rsidR="000E550A" w:rsidRDefault="000E550A" w:rsidP="00CF3399">
      <w:pPr>
        <w:pStyle w:val="BodyText"/>
      </w:pPr>
      <w:r w:rsidRPr="00BB7658">
        <w:rPr>
          <w:b/>
          <w:i/>
        </w:rPr>
        <w:t xml:space="preserve">Intermediary </w:t>
      </w:r>
      <w:r w:rsidRPr="00BB7658">
        <w:t>means CSF Intermediary Co</w:t>
      </w:r>
      <w:r>
        <w:t xml:space="preserve"> Limited</w:t>
      </w:r>
      <w:r w:rsidRPr="00BB7658">
        <w:t xml:space="preserve"> AFSL 123 456</w:t>
      </w:r>
    </w:p>
    <w:p w14:paraId="78D0A59A" w14:textId="77777777" w:rsidR="00011091" w:rsidRPr="00521219" w:rsidRDefault="00011091" w:rsidP="00011091">
      <w:pPr>
        <w:pStyle w:val="BodyText"/>
      </w:pPr>
      <w:r w:rsidRPr="00521219">
        <w:rPr>
          <w:b/>
          <w:i/>
        </w:rPr>
        <w:t>Maximum Subscription</w:t>
      </w:r>
      <w:r w:rsidRPr="00521219">
        <w:t xml:space="preserve"> means</w:t>
      </w:r>
      <w:r w:rsidR="00D93760" w:rsidRPr="00521219">
        <w:t xml:space="preserve"> the amount specified in this CSF offer document as the maximum amo</w:t>
      </w:r>
      <w:r w:rsidR="000E620B" w:rsidRPr="00521219">
        <w:t>unt sought to be raised by the O</w:t>
      </w:r>
      <w:r w:rsidR="00D93760" w:rsidRPr="00521219">
        <w:t>ffer</w:t>
      </w:r>
    </w:p>
    <w:p w14:paraId="776E006D" w14:textId="77777777" w:rsidR="00011091" w:rsidRPr="00011091" w:rsidRDefault="00011091" w:rsidP="00011091">
      <w:pPr>
        <w:pStyle w:val="BodyText"/>
      </w:pPr>
      <w:r w:rsidRPr="00521219">
        <w:rPr>
          <w:b/>
          <w:i/>
        </w:rPr>
        <w:t>Minimum Subscription</w:t>
      </w:r>
      <w:r w:rsidRPr="00521219">
        <w:t xml:space="preserve"> means</w:t>
      </w:r>
      <w:r w:rsidR="000E620B" w:rsidRPr="00521219">
        <w:t xml:space="preserve"> the</w:t>
      </w:r>
      <w:r w:rsidR="000E620B" w:rsidRPr="00D93760">
        <w:t xml:space="preserve"> amount specified in th</w:t>
      </w:r>
      <w:r w:rsidR="000E620B">
        <w:t>is</w:t>
      </w:r>
      <w:r w:rsidR="000E620B" w:rsidRPr="00D93760">
        <w:t xml:space="preserve"> CSF offer document as the m</w:t>
      </w:r>
      <w:r w:rsidR="000E620B">
        <w:t>inimum</w:t>
      </w:r>
      <w:r w:rsidR="000E620B" w:rsidRPr="00D93760">
        <w:t xml:space="preserve"> amo</w:t>
      </w:r>
      <w:r w:rsidR="000E620B">
        <w:t>unt sought to be raised by the O</w:t>
      </w:r>
      <w:r w:rsidR="000E620B" w:rsidRPr="00D93760">
        <w:t>ffer</w:t>
      </w:r>
    </w:p>
    <w:p w14:paraId="3EEFE4F1" w14:textId="75232164" w:rsidR="00CC68CB" w:rsidRDefault="000E550A" w:rsidP="00CF3399">
      <w:pPr>
        <w:pStyle w:val="BodyText"/>
      </w:pPr>
      <w:r w:rsidRPr="00BB7658">
        <w:rPr>
          <w:b/>
          <w:i/>
        </w:rPr>
        <w:t xml:space="preserve">Offer </w:t>
      </w:r>
      <w:r w:rsidRPr="00BB7658">
        <w:t xml:space="preserve">means an offer of fully-paid ordinary shares by the Company under this </w:t>
      </w:r>
      <w:r w:rsidR="001450BD">
        <w:t xml:space="preserve">CSF </w:t>
      </w:r>
      <w:r w:rsidRPr="00BB7658">
        <w:t>offer document</w:t>
      </w:r>
    </w:p>
    <w:p w14:paraId="60DEDCC7" w14:textId="77777777" w:rsidR="00CC68CB" w:rsidRDefault="00CC68CB">
      <w:pPr>
        <w:spacing w:after="0"/>
        <w:rPr>
          <w:rFonts w:ascii="Arial" w:hAnsi="Arial" w:cs="Arial"/>
          <w:color w:val="000000"/>
          <w:szCs w:val="22"/>
        </w:rPr>
      </w:pPr>
      <w:r>
        <w:br w:type="page"/>
      </w:r>
    </w:p>
    <w:p w14:paraId="60C89BBA" w14:textId="4FE00E47" w:rsidR="00CC68CB" w:rsidRPr="00B83D3D" w:rsidRDefault="00AA006D" w:rsidP="00CC68CB">
      <w:pPr>
        <w:pStyle w:val="Heading1"/>
        <w:numPr>
          <w:ilvl w:val="0"/>
          <w:numId w:val="0"/>
        </w:numPr>
      </w:pPr>
      <w:bookmarkStart w:id="62" w:name="_Toc526771246"/>
      <w:r>
        <w:lastRenderedPageBreak/>
        <w:t>A</w:t>
      </w:r>
      <w:r w:rsidR="00291B24">
        <w:t>nnexure</w:t>
      </w:r>
      <w:bookmarkEnd w:id="62"/>
    </w:p>
    <w:p w14:paraId="4F297432" w14:textId="308AF05B" w:rsidR="00CC68CB" w:rsidRDefault="00CC68CB" w:rsidP="00CC68CB">
      <w:pPr>
        <w:pStyle w:val="Templatecommentarytext"/>
      </w:pPr>
      <w:r>
        <w:t xml:space="preserve">To reduce the length of </w:t>
      </w:r>
      <w:r w:rsidR="002B5FA9">
        <w:t xml:space="preserve">the </w:t>
      </w:r>
      <w:r>
        <w:t>CSF offer document</w:t>
      </w:r>
      <w:r w:rsidR="009402AE">
        <w:t>,</w:t>
      </w:r>
      <w:r>
        <w:t xml:space="preserve"> and to focus on </w:t>
      </w:r>
      <w:r w:rsidR="007B711C">
        <w:t xml:space="preserve">the information prescribed by law and other </w:t>
      </w:r>
      <w:r>
        <w:t xml:space="preserve">key material and relevant information </w:t>
      </w:r>
      <w:r w:rsidR="007B711C">
        <w:t xml:space="preserve">in </w:t>
      </w:r>
      <w:r w:rsidR="009402AE">
        <w:t>the body of the</w:t>
      </w:r>
      <w:r w:rsidR="007B711C">
        <w:t xml:space="preserve"> document</w:t>
      </w:r>
      <w:r>
        <w:t xml:space="preserve">, you may wish to use </w:t>
      </w:r>
      <w:r w:rsidR="009412AC">
        <w:t>annexures</w:t>
      </w:r>
      <w:r>
        <w:t>:</w:t>
      </w:r>
    </w:p>
    <w:p w14:paraId="6298540A" w14:textId="205A9DCD" w:rsidR="0076390F" w:rsidRPr="0076390F" w:rsidRDefault="009141EB" w:rsidP="0076390F">
      <w:pPr>
        <w:pStyle w:val="Templatecommentarylist"/>
      </w:pPr>
      <w:r>
        <w:t xml:space="preserve">to set out more detailed information, </w:t>
      </w:r>
      <w:r w:rsidR="0076390F" w:rsidRPr="0076390F">
        <w:t xml:space="preserve">where a summary of the </w:t>
      </w:r>
      <w:r>
        <w:t>prescribed</w:t>
      </w:r>
      <w:r w:rsidR="0076390F" w:rsidRPr="0076390F">
        <w:t xml:space="preserve"> information</w:t>
      </w:r>
      <w:r>
        <w:t xml:space="preserve"> </w:t>
      </w:r>
      <w:r w:rsidR="00711B69">
        <w:t xml:space="preserve">is </w:t>
      </w:r>
      <w:r w:rsidR="0076390F" w:rsidRPr="0076390F">
        <w:t xml:space="preserve">provided in the </w:t>
      </w:r>
      <w:r w:rsidR="00AE123A">
        <w:t xml:space="preserve">CSF </w:t>
      </w:r>
      <w:r w:rsidR="0076390F" w:rsidRPr="0076390F">
        <w:t>offer document (</w:t>
      </w:r>
      <w:r>
        <w:t>summaries are</w:t>
      </w:r>
      <w:r w:rsidR="0076390F" w:rsidRPr="0076390F">
        <w:t xml:space="preserve"> permitted under the regulations</w:t>
      </w:r>
      <w:r>
        <w:t xml:space="preserve"> for some of the prescribed information</w:t>
      </w:r>
      <w:r w:rsidR="00291B24">
        <w:t xml:space="preserve"> –</w:t>
      </w:r>
      <w:r>
        <w:t xml:space="preserve"> for example, information about rights associated with securities</w:t>
      </w:r>
      <w:r w:rsidR="00711B69">
        <w:t xml:space="preserve"> in </w:t>
      </w:r>
      <w:r w:rsidR="005E23D1">
        <w:t>S</w:t>
      </w:r>
      <w:r w:rsidR="00711B69">
        <w:t xml:space="preserve">ections 2 and 3 of the </w:t>
      </w:r>
      <w:r w:rsidR="00AE123A">
        <w:t xml:space="preserve">CSF </w:t>
      </w:r>
      <w:r w:rsidR="00711B69">
        <w:t>offer document</w:t>
      </w:r>
      <w:r w:rsidR="0076390F" w:rsidRPr="0076390F">
        <w:t>)</w:t>
      </w:r>
    </w:p>
    <w:p w14:paraId="4AC169ED" w14:textId="4F64843C" w:rsidR="00CC68CB" w:rsidRPr="0076390F" w:rsidRDefault="00CC68CB" w:rsidP="00CC68CB">
      <w:pPr>
        <w:pStyle w:val="Templatecommentarylist"/>
      </w:pPr>
      <w:r w:rsidRPr="0076390F">
        <w:t xml:space="preserve">for additional information (not prescribed under the law) that is not key information </w:t>
      </w:r>
      <w:r w:rsidR="00711B69">
        <w:t>but that may still be useful for or</w:t>
      </w:r>
      <w:r w:rsidRPr="0076390F">
        <w:t xml:space="preserve"> important to investors. This might include the notes to the fina</w:t>
      </w:r>
      <w:r w:rsidR="007B711C" w:rsidRPr="0076390F">
        <w:t xml:space="preserve">ncial statements or details of </w:t>
      </w:r>
      <w:r w:rsidRPr="0076390F">
        <w:t xml:space="preserve">complex terms of convertible </w:t>
      </w:r>
      <w:r w:rsidR="007B711C" w:rsidRPr="0076390F">
        <w:t>notes/</w:t>
      </w:r>
      <w:r w:rsidRPr="0076390F">
        <w:t>securities or a debt facility</w:t>
      </w:r>
    </w:p>
    <w:p w14:paraId="6BA4E095" w14:textId="23F61C9E" w:rsidR="00AA006D" w:rsidRPr="0076390F" w:rsidRDefault="00CC68CB" w:rsidP="00CF3399">
      <w:pPr>
        <w:pStyle w:val="Templatecommentarylist"/>
      </w:pPr>
      <w:r w:rsidRPr="0076390F">
        <w:t>to attach copies of other key documents, such as shareholder agreements or your company</w:t>
      </w:r>
      <w:r w:rsidR="00C7359B">
        <w:t>’</w:t>
      </w:r>
      <w:r w:rsidR="009402AE" w:rsidRPr="0076390F">
        <w:t>s</w:t>
      </w:r>
      <w:r w:rsidRPr="0076390F">
        <w:t xml:space="preserve"> constitution, to the CSF offer document.</w:t>
      </w:r>
    </w:p>
    <w:p w14:paraId="4AAB485B" w14:textId="3675285D" w:rsidR="00CC68CB" w:rsidRDefault="00DF1BE0" w:rsidP="0076390F">
      <w:pPr>
        <w:pStyle w:val="Templatecommentarytext"/>
      </w:pPr>
      <w:r>
        <w:t>W</w:t>
      </w:r>
      <w:r w:rsidR="00CC68CB" w:rsidRPr="0076390F">
        <w:t xml:space="preserve">here required by law, you must also include a </w:t>
      </w:r>
      <w:r w:rsidR="00FD150B" w:rsidRPr="0076390F">
        <w:t xml:space="preserve">summary </w:t>
      </w:r>
      <w:r w:rsidR="00CC68CB" w:rsidRPr="0076390F">
        <w:t xml:space="preserve">of certain information </w:t>
      </w:r>
      <w:r w:rsidR="00B336FB" w:rsidRPr="009141EB">
        <w:t xml:space="preserve">contained </w:t>
      </w:r>
      <w:r w:rsidR="00CC68CB" w:rsidRPr="009141EB">
        <w:t>in these documents in the CSF offer document itself</w:t>
      </w:r>
      <w:r w:rsidR="001D7F11">
        <w:t>,</w:t>
      </w:r>
      <w:r w:rsidR="00AC0E88" w:rsidRPr="009141EB">
        <w:t xml:space="preserve"> together with a cross-reference to where the more detailed information can be found</w:t>
      </w:r>
      <w:r w:rsidR="00716130" w:rsidRPr="00DF1BE0">
        <w:t>.</w:t>
      </w:r>
      <w:r w:rsidR="002D45A7" w:rsidRPr="00DF1BE0">
        <w:t xml:space="preserve"> See RG 261.137–RG 261.139 for further guidance.</w:t>
      </w:r>
    </w:p>
    <w:sectPr w:rsidR="00CC68CB" w:rsidSect="0025609F">
      <w:footerReference w:type="default" r:id="rId35"/>
      <w:pgSz w:w="11906" w:h="16838" w:code="9"/>
      <w:pgMar w:top="1418" w:right="1418" w:bottom="993"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788B" w14:textId="77777777" w:rsidR="00B225FC" w:rsidRDefault="00B225FC" w:rsidP="00851714">
      <w:pPr>
        <w:spacing w:after="0"/>
      </w:pPr>
      <w:r>
        <w:separator/>
      </w:r>
    </w:p>
  </w:endnote>
  <w:endnote w:type="continuationSeparator" w:id="0">
    <w:p w14:paraId="0DDA495E" w14:textId="77777777" w:rsidR="00B225FC" w:rsidRDefault="00B225FC" w:rsidP="00851714">
      <w:pPr>
        <w:spacing w:after="0"/>
      </w:pPr>
      <w:r>
        <w:continuationSeparator/>
      </w:r>
    </w:p>
  </w:endnote>
  <w:endnote w:type="continuationNotice" w:id="1">
    <w:p w14:paraId="6E0F3582" w14:textId="77777777" w:rsidR="00B225FC" w:rsidRDefault="00B22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618F" w14:textId="77777777" w:rsidR="00B225FC" w:rsidRDefault="00B225FC">
    <w:pPr>
      <w:framePr w:wrap="around" w:vAnchor="text" w:hAnchor="margin" w:xAlign="right" w:y="1"/>
    </w:pPr>
    <w:r>
      <w:fldChar w:fldCharType="begin"/>
    </w:r>
    <w:r>
      <w:instrText xml:space="preserve">PAGE  </w:instrText>
    </w:r>
    <w:r>
      <w:fldChar w:fldCharType="separate"/>
    </w:r>
    <w:r>
      <w:rPr>
        <w:noProof/>
      </w:rPr>
      <w:t>18</w:t>
    </w:r>
    <w:r>
      <w:fldChar w:fldCharType="end"/>
    </w:r>
  </w:p>
  <w:p w14:paraId="486060E6" w14:textId="77777777" w:rsidR="00B225FC" w:rsidRDefault="00B225FC">
    <w:pPr>
      <w:ind w:right="360"/>
    </w:pPr>
  </w:p>
  <w:p w14:paraId="34722901" w14:textId="77777777" w:rsidR="00B225FC" w:rsidRDefault="00B225FC"/>
  <w:p w14:paraId="1A9BCFDA" w14:textId="77777777" w:rsidR="00B225FC" w:rsidRDefault="00B225FC"/>
  <w:p w14:paraId="6681926B" w14:textId="77777777" w:rsidR="00B225FC" w:rsidRDefault="00B225FC"/>
  <w:p w14:paraId="13DB03DE" w14:textId="77777777" w:rsidR="00B225FC" w:rsidRDefault="00B225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95FD" w14:textId="479A45B6" w:rsidR="00B225FC" w:rsidRPr="001D12B1" w:rsidRDefault="00B225FC" w:rsidP="001D12B1">
    <w:pPr>
      <w:pStyle w:val="Footer"/>
    </w:pPr>
    <w:r>
      <w:rPr>
        <w:lang w:val="en-AU" w:eastAsia="en-AU"/>
      </w:rPr>
      <mc:AlternateContent>
        <mc:Choice Requires="wps">
          <w:drawing>
            <wp:anchor distT="0" distB="0" distL="114300" distR="114300" simplePos="0" relativeHeight="251657216" behindDoc="1" locked="0" layoutInCell="1" allowOverlap="1" wp14:anchorId="5DCC03D8" wp14:editId="2F88E1CE">
              <wp:simplePos x="0" y="0"/>
              <wp:positionH relativeFrom="column">
                <wp:posOffset>-1191260</wp:posOffset>
              </wp:positionH>
              <wp:positionV relativeFrom="paragraph">
                <wp:posOffset>-998220</wp:posOffset>
              </wp:positionV>
              <wp:extent cx="1588770" cy="342900"/>
              <wp:effectExtent l="3175" t="7620" r="6350" b="381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588770" cy="34290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5A93ED99" w14:textId="77777777" w:rsidR="00B225FC" w:rsidRDefault="00B225FC" w:rsidP="00C76331">
                          <w:pPr>
                            <w:pStyle w:val="NormalWeb"/>
                            <w:spacing w:before="0" w:beforeAutospacing="0" w:after="0" w:afterAutospacing="0"/>
                            <w:jc w:val="center"/>
                          </w:pPr>
                          <w:r>
                            <w:rPr>
                              <w:rFonts w:ascii="Arial" w:hAnsi="Arial" w:cs="Arial"/>
                              <w:b/>
                              <w:bCs/>
                              <w:color w:val="C0C0C0"/>
                              <w:sz w:val="72"/>
                              <w:szCs w:val="7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C03D8" id="_x0000_t202" coordsize="21600,21600" o:spt="202" path="m,l,21600r21600,l21600,xe">
              <v:stroke joinstyle="miter"/>
              <v:path gradientshapeok="t" o:connecttype="rect"/>
            </v:shapetype>
            <v:shape id="WordArt 1" o:spid="_x0000_s1037" type="#_x0000_t202" style="position:absolute;margin-left:-93.8pt;margin-top:-78.6pt;width:125.1pt;height: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BqwQIAAK4FAAAOAAAAZHJzL2Uyb0RvYy54bWysVF1vmzAUfZ+0/2DxToEEQkAlVZKGvXRb&#10;pWbqs4NN8AbYs51AVO2/79qQtNlepm2JhPxxfe659xz79q5vanSkUjHeZk5w4zuItgUnrN1nzpdt&#10;7s4dpDRuCa55SzPnRJVzt3j/7rYTKZ3witeESgQgrUo7kTmV1iL1PFVUtMHqhgvawmbJZYM1TOXe&#10;IxJ3gN7U3sT3Z17HJRGSF1QpWL0fNp2FxS9LWujPZamoRnXmADdtv9J+d+brLW5xupdYVKwYaeC/&#10;YNFg1kLSC9Q91hgdJPsNqmGF5IqX+qbgjcfLkhXU1gDVBP4v1TxVWFBbCzRHiUub1P+DLT4dHyVi&#10;JHMiB7W4AYmeoaNLqVFgmtMJlULMk4Ao3a94DyLbQpV44MU3hVq+rnC7p0speVdRTIBcAFDjsi1h&#10;exKAa1e3tNcbwkAHC++9wR+SKZNp133kBI7gg+Y2W1/KBklujs1AdvjZZegfAkYg7OkiJiRAhaEZ&#10;zedxDFsF7E3DSQJnoCAPpwbMaCWk0h8ob5AZZI4Es1hUfHxQegg9h5hwAIb1cTSI+5IEk9BfTRI3&#10;n81jN8zDyE1if+76QbJKZn6YhPf5DwMahGnFCKHtA2vp2WhB+GdCjpYfLGKthrrMSaJJZPkqXjOS&#10;s7o23JTc79a1REcMjl/75j+WfRUm+aEl1vxGs8041pjVw9i7Zmz7Bg24rn6ZR34cTuduHEdTN5xu&#10;fHc1z9fuch3MZvFmtV5tguvqN/ZKqn9vgCViwc5aXTo85nilDJKftbN+MxYbzKb7XT+afMfJCZzX&#10;wVOQOer7AUsKLj40aw59BOuWkjfjzTBzk9+YY9s/YylGB2lI81ifnwJrIxO3J+PNwuQrADU1vDAg&#10;D4qsjwejjcFA9RXVnFViCXcgZ9aP5rIMPKE4M4FHwZY5PmDm1Xk7t1Gvz+ziJwAAAP//AwBQSwME&#10;FAAGAAgAAAAhABLCfzneAAAACwEAAA8AAABkcnMvZG93bnJldi54bWxMj0FPwzAMhe9I/IfISNy6&#10;dBtBpTSdEBLaDYnCgaPXZE21xqmabC38eswJbs9+T8+fq93iB3GxU+wDaVivchCW2mB66jR8vL9k&#10;BYiYkAwOgayGLxthV19fVViaMNObvTSpE1xCsUQNLqWxlDK2znqMqzBaYu8YJo+Jx6mTZsKZy/0g&#10;N3l+Lz32xBccjvbZ2fbUnL2G1yOe5s9xr3zx7Zsp4nLn9k7r25vl6RFEskv6C8MvPqNDzUyHcCYT&#10;xaAhKx4UR1lslNqC4Ei2Vbw6sFBrkHUl//9Q/wAAAP//AwBQSwECLQAUAAYACAAAACEAtoM4kv4A&#10;AADhAQAAEwAAAAAAAAAAAAAAAAAAAAAAW0NvbnRlbnRfVHlwZXNdLnhtbFBLAQItABQABgAIAAAA&#10;IQA4/SH/1gAAAJQBAAALAAAAAAAAAAAAAAAAAC8BAABfcmVscy8ucmVsc1BLAQItABQABgAIAAAA&#10;IQAYdBBqwQIAAK4FAAAOAAAAAAAAAAAAAAAAAC4CAABkcnMvZTJvRG9jLnhtbFBLAQItABQABgAI&#10;AAAAIQASwn853gAAAAsBAAAPAAAAAAAAAAAAAAAAABsFAABkcnMvZG93bnJldi54bWxQSwUGAAAA&#10;AAQABADzAAAAJgYAAAAA&#10;" filled="f" stroked="f" strokecolor="silver">
              <v:stroke joinstyle="round"/>
              <o:lock v:ext="edit" shapetype="t"/>
              <v:textbox style="mso-fit-shape-to-text:t">
                <w:txbxContent>
                  <w:p w14:paraId="5A93ED99" w14:textId="77777777" w:rsidR="00B225FC" w:rsidRDefault="00B225FC" w:rsidP="00C76331">
                    <w:pPr>
                      <w:pStyle w:val="NormalWeb"/>
                      <w:spacing w:before="0" w:beforeAutospacing="0" w:after="0" w:afterAutospacing="0"/>
                      <w:jc w:val="center"/>
                    </w:pPr>
                    <w:r>
                      <w:rPr>
                        <w:rFonts w:ascii="Arial" w:hAnsi="Arial" w:cs="Arial"/>
                        <w:b/>
                        <w:bCs/>
                        <w:color w:val="C0C0C0"/>
                        <w:sz w:val="72"/>
                        <w:szCs w:val="72"/>
                      </w:rPr>
                      <w:t>DRAFT</w:t>
                    </w:r>
                  </w:p>
                </w:txbxContent>
              </v:textbox>
            </v:shape>
          </w:pict>
        </mc:Fallback>
      </mc:AlternateContent>
    </w:r>
    <w:r>
      <w:t>© Australian Securities and Investments Commission June 2017</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F5D3" w14:textId="04E5FEE3" w:rsidR="00B225FC" w:rsidRDefault="00B225FC">
    <w:pPr>
      <w:pStyle w:val="Footer"/>
    </w:pPr>
    <w:r>
      <w:t>© Australian Securities and Investments Commission October 2018</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134F" w14:textId="5FC872CA" w:rsidR="00B225FC" w:rsidRPr="001D12B1" w:rsidRDefault="00B225FC" w:rsidP="001D12B1">
    <w:pPr>
      <w:pStyle w:val="Footer"/>
    </w:pPr>
    <w:r>
      <w:t>© Australian Securities and Investments Commission October 2018</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17</w:t>
    </w:r>
    <w:r>
      <w:rPr>
        <w:b/>
        <w:bCs/>
        <w:sz w:val="24"/>
        <w:szCs w:val="24"/>
      </w:rPr>
      <w:fldChar w:fldCharType="end"/>
    </w:r>
    <w:r>
      <w:t xml:space="preserve"> of </w:t>
    </w:r>
    <w:r w:rsidRPr="008A0200">
      <w:rPr>
        <w:b/>
        <w:bCs/>
      </w:rPr>
      <w:fldChar w:fldCharType="begin"/>
    </w:r>
    <w:r w:rsidRPr="008A0200">
      <w:rPr>
        <w:b/>
        <w:bCs/>
      </w:rPr>
      <w:instrText xml:space="preserve"> NUMPAGES-1  </w:instrText>
    </w:r>
    <w:r w:rsidRPr="008A0200">
      <w:rPr>
        <w:b/>
        <w:bCs/>
      </w:rPr>
      <w:fldChar w:fldCharType="end"/>
    </w:r>
    <w:r w:rsidRPr="008A0200">
      <w:rPr>
        <w:b/>
        <w:bCs/>
      </w:rPr>
      <w:fldChar w:fldCharType="begin"/>
    </w:r>
    <w:r w:rsidRPr="008A0200">
      <w:rPr>
        <w:b/>
        <w:bCs/>
      </w:rPr>
      <w:instrText xml:space="preserve"> SECTIONPAGES  \* Arabic </w:instrText>
    </w:r>
    <w:r w:rsidRPr="008A0200">
      <w:rPr>
        <w:b/>
        <w:bCs/>
      </w:rPr>
      <w:fldChar w:fldCharType="separate"/>
    </w:r>
    <w:r w:rsidR="005D580E">
      <w:rPr>
        <w:b/>
        <w:bCs/>
      </w:rPr>
      <w:t>20</w:t>
    </w:r>
    <w:r w:rsidRPr="008A020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B0DE" w14:textId="77777777" w:rsidR="00B225FC" w:rsidRDefault="00B225FC" w:rsidP="00851714">
      <w:pPr>
        <w:spacing w:after="0"/>
      </w:pPr>
      <w:r>
        <w:separator/>
      </w:r>
    </w:p>
  </w:footnote>
  <w:footnote w:type="continuationSeparator" w:id="0">
    <w:p w14:paraId="5DEB6F3F" w14:textId="77777777" w:rsidR="00B225FC" w:rsidRDefault="00B225FC" w:rsidP="00851714">
      <w:pPr>
        <w:spacing w:after="0"/>
      </w:pPr>
      <w:r>
        <w:continuationSeparator/>
      </w:r>
    </w:p>
  </w:footnote>
  <w:footnote w:type="continuationNotice" w:id="1">
    <w:p w14:paraId="218094F1" w14:textId="77777777" w:rsidR="00B225FC" w:rsidRDefault="00B22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F986" w14:textId="77777777" w:rsidR="00B225FC" w:rsidRDefault="00B225FC"/>
  <w:p w14:paraId="32CF507D" w14:textId="77777777" w:rsidR="00B225FC" w:rsidRDefault="00B22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D112" w14:textId="66A6F3CA" w:rsidR="00B225FC" w:rsidRPr="001D12B1" w:rsidRDefault="00B225FC" w:rsidP="001D12B1">
    <w:pPr>
      <w:pStyle w:val="Header"/>
    </w:pPr>
    <w:r w:rsidRPr="001D12B1">
      <w:t>APPENDIX T</w:t>
    </w:r>
    <w:r>
      <w:t>O</w:t>
    </w:r>
    <w:r w:rsidRPr="001D12B1">
      <w:t xml:space="preserve"> </w:t>
    </w:r>
    <w:r>
      <w:t>REGULATORY GUIDE 261</w:t>
    </w:r>
    <w:r w:rsidRPr="001D12B1">
      <w:t xml:space="preserve">: Template </w:t>
    </w:r>
    <w:r>
      <w:t xml:space="preserve">CSF </w:t>
    </w:r>
    <w:r w:rsidRPr="001D12B1">
      <w:t>offer docume</w:t>
    </w:r>
    <w:r>
      <w:t>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BE4D" w14:textId="2DE36912" w:rsidR="00B225FC" w:rsidRPr="00ED5B8C" w:rsidRDefault="00B225FC">
    <w:pPr>
      <w:pStyle w:val="Header"/>
    </w:pPr>
    <w:r w:rsidRPr="00ED5B8C">
      <w:t xml:space="preserve">APPENDIX TO REGULATORY GUIDE </w:t>
    </w:r>
    <w:r>
      <w:t>261</w:t>
    </w:r>
    <w:r w:rsidRPr="00ED5B8C">
      <w:t>: Template CSF offer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84A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8E7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5248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9A42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162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E5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0E7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32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A6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CC2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063A"/>
    <w:multiLevelType w:val="hybridMultilevel"/>
    <w:tmpl w:val="20966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C6808"/>
    <w:multiLevelType w:val="multilevel"/>
    <w:tmpl w:val="48D2072A"/>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15:restartNumberingAfterBreak="0">
    <w:nsid w:val="1FFE7973"/>
    <w:multiLevelType w:val="multilevel"/>
    <w:tmpl w:val="8C60DAA4"/>
    <w:lvl w:ilvl="0">
      <w:start w:val="1"/>
      <w:numFmt w:val="decimal"/>
      <w:pStyle w:val="Heading1"/>
      <w:suff w:val="space"/>
      <w:lvlText w:val="Section %1:"/>
      <w:lvlJc w:val="left"/>
      <w:pPr>
        <w:ind w:left="284" w:hanging="284"/>
      </w:pPr>
      <w:rPr>
        <w:rFonts w:ascii="Arial" w:hAnsi="Arial" w:hint="default"/>
        <w:b/>
        <w:i w:val="0"/>
        <w:color w:val="000000"/>
        <w:sz w:val="40"/>
        <w:szCs w:val="36"/>
      </w:rPr>
    </w:lvl>
    <w:lvl w:ilvl="1">
      <w:start w:val="1"/>
      <w:numFmt w:val="decimal"/>
      <w:pStyle w:val="Heading2"/>
      <w:suff w:val="space"/>
      <w:lvlText w:val="%1.%2"/>
      <w:lvlJc w:val="left"/>
      <w:pPr>
        <w:ind w:left="1276" w:hanging="1134"/>
      </w:pPr>
      <w:rPr>
        <w:rFonts w:ascii="Arial" w:hAnsi="Arial" w:hint="default"/>
        <w:b/>
        <w:i w:val="0"/>
        <w:color w:val="000000"/>
        <w:sz w:val="32"/>
        <w:szCs w:val="40"/>
      </w:rPr>
    </w:lvl>
    <w:lvl w:ilvl="2">
      <w:start w:val="1"/>
      <w:numFmt w:val="decimal"/>
      <w:pStyle w:val="Heading3"/>
      <w:suff w:val="space"/>
      <w:lvlText w:val="%1.%2.%3"/>
      <w:lvlJc w:val="left"/>
      <w:pPr>
        <w:ind w:left="142" w:firstLine="0"/>
      </w:pPr>
      <w:rPr>
        <w:rFonts w:ascii="Arial" w:hAnsi="Arial" w:hint="default"/>
        <w:color w:val="000000"/>
        <w:sz w:val="28"/>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43B1A7D"/>
    <w:multiLevelType w:val="multilevel"/>
    <w:tmpl w:val="ECAC3A2E"/>
    <w:lvl w:ilvl="0">
      <w:start w:val="2"/>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15:restartNumberingAfterBreak="0">
    <w:nsid w:val="2A232C36"/>
    <w:multiLevelType w:val="hybridMultilevel"/>
    <w:tmpl w:val="91922ED8"/>
    <w:lvl w:ilvl="0" w:tplc="974CE73A">
      <w:start w:val="1"/>
      <w:numFmt w:val="bullet"/>
      <w:pStyle w:val="Body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6472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D6059BF"/>
    <w:multiLevelType w:val="hybridMultilevel"/>
    <w:tmpl w:val="7430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25158"/>
    <w:multiLevelType w:val="hybridMultilevel"/>
    <w:tmpl w:val="9C563276"/>
    <w:lvl w:ilvl="0" w:tplc="66FC4D2C">
      <w:start w:val="1"/>
      <w:numFmt w:val="bullet"/>
      <w:pStyle w:val="Templatecommentarylis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890D62"/>
    <w:multiLevelType w:val="hybridMultilevel"/>
    <w:tmpl w:val="15DCF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41556"/>
    <w:multiLevelType w:val="hybridMultilevel"/>
    <w:tmpl w:val="6862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B15264"/>
    <w:multiLevelType w:val="multilevel"/>
    <w:tmpl w:val="D8E4645A"/>
    <w:lvl w:ilvl="0">
      <w:start w:val="1"/>
      <w:numFmt w:val="decimal"/>
      <w:lvlText w:val="%1"/>
      <w:lvlJc w:val="left"/>
      <w:pPr>
        <w:tabs>
          <w:tab w:val="num" w:pos="1134"/>
        </w:tabs>
        <w:ind w:left="1134" w:hanging="1134"/>
      </w:pPr>
      <w:rPr>
        <w:rFonts w:hint="default"/>
        <w:b/>
      </w:rPr>
    </w:lvl>
    <w:lvl w:ilvl="1">
      <w:start w:val="1"/>
      <w:numFmt w:val="none"/>
      <w:lvlText w:val="%1.1"/>
      <w:lvlJc w:val="left"/>
      <w:pPr>
        <w:tabs>
          <w:tab w:val="num" w:pos="1854"/>
        </w:tabs>
        <w:ind w:left="1854" w:hanging="1174"/>
      </w:pPr>
      <w:rPr>
        <w:rFonts w:hint="default"/>
      </w:rPr>
    </w:lvl>
    <w:lvl w:ilvl="2">
      <w:start w:val="1"/>
      <w:numFmt w:val="none"/>
      <w:lvlText w:val="%1.1.1"/>
      <w:lvlJc w:val="right"/>
      <w:pPr>
        <w:tabs>
          <w:tab w:val="num" w:pos="2574"/>
        </w:tabs>
        <w:ind w:left="2574" w:hanging="419"/>
      </w:pPr>
      <w:rPr>
        <w:rFonts w:hint="default"/>
      </w:rPr>
    </w:lvl>
    <w:lvl w:ilvl="3">
      <w:start w:val="1"/>
      <w:numFmt w:val="decimal"/>
      <w:lvlText w:val="%4."/>
      <w:lvlJc w:val="left"/>
      <w:pPr>
        <w:tabs>
          <w:tab w:val="num" w:pos="3294"/>
        </w:tabs>
        <w:ind w:left="3294" w:hanging="1134"/>
      </w:pPr>
      <w:rPr>
        <w:rFonts w:hint="default"/>
      </w:rPr>
    </w:lvl>
    <w:lvl w:ilvl="4">
      <w:start w:val="1"/>
      <w:numFmt w:val="lowerLetter"/>
      <w:lvlText w:val="%5."/>
      <w:lvlJc w:val="left"/>
      <w:pPr>
        <w:tabs>
          <w:tab w:val="num" w:pos="4014"/>
        </w:tabs>
        <w:ind w:left="4014" w:hanging="1134"/>
      </w:pPr>
      <w:rPr>
        <w:rFonts w:hint="default"/>
      </w:rPr>
    </w:lvl>
    <w:lvl w:ilvl="5">
      <w:start w:val="1"/>
      <w:numFmt w:val="lowerRoman"/>
      <w:lvlText w:val="%6."/>
      <w:lvlJc w:val="right"/>
      <w:pPr>
        <w:tabs>
          <w:tab w:val="num" w:pos="4734"/>
        </w:tabs>
        <w:ind w:left="4734" w:hanging="1134"/>
      </w:pPr>
      <w:rPr>
        <w:rFonts w:hint="default"/>
      </w:rPr>
    </w:lvl>
    <w:lvl w:ilvl="6">
      <w:start w:val="1"/>
      <w:numFmt w:val="decimal"/>
      <w:lvlText w:val="%7."/>
      <w:lvlJc w:val="left"/>
      <w:pPr>
        <w:tabs>
          <w:tab w:val="num" w:pos="5454"/>
        </w:tabs>
        <w:ind w:left="5454" w:hanging="1134"/>
      </w:pPr>
      <w:rPr>
        <w:rFonts w:hint="default"/>
      </w:rPr>
    </w:lvl>
    <w:lvl w:ilvl="7">
      <w:start w:val="1"/>
      <w:numFmt w:val="lowerLetter"/>
      <w:lvlText w:val="%8."/>
      <w:lvlJc w:val="left"/>
      <w:pPr>
        <w:tabs>
          <w:tab w:val="num" w:pos="6174"/>
        </w:tabs>
        <w:ind w:left="6174" w:hanging="1134"/>
      </w:pPr>
      <w:rPr>
        <w:rFonts w:hint="default"/>
      </w:rPr>
    </w:lvl>
    <w:lvl w:ilvl="8">
      <w:start w:val="1"/>
      <w:numFmt w:val="lowerRoman"/>
      <w:lvlText w:val="%9."/>
      <w:lvlJc w:val="right"/>
      <w:pPr>
        <w:tabs>
          <w:tab w:val="num" w:pos="6894"/>
        </w:tabs>
        <w:ind w:left="6894" w:hanging="1134"/>
      </w:pPr>
      <w:rPr>
        <w:rFonts w:hint="default"/>
      </w:rPr>
    </w:lvl>
  </w:abstractNum>
  <w:abstractNum w:abstractNumId="23" w15:restartNumberingAfterBreak="0">
    <w:nsid w:val="66FF01A4"/>
    <w:multiLevelType w:val="hybridMultilevel"/>
    <w:tmpl w:val="62FCE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9F3930"/>
    <w:multiLevelType w:val="hybridMultilevel"/>
    <w:tmpl w:val="5C56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C10974"/>
    <w:multiLevelType w:val="hybridMultilevel"/>
    <w:tmpl w:val="B8F2A35C"/>
    <w:lvl w:ilvl="0" w:tplc="882469DE">
      <w:start w:val="1"/>
      <w:numFmt w:val="decimal"/>
      <w:lvlText w:val="4.%1"/>
      <w:lvlJc w:val="left"/>
      <w:pPr>
        <w:tabs>
          <w:tab w:val="num" w:pos="1134"/>
        </w:tabs>
        <w:ind w:left="1134" w:hanging="1134"/>
      </w:pPr>
      <w:rPr>
        <w:rFonts w:hint="default"/>
        <w:b/>
      </w:rPr>
    </w:lvl>
    <w:lvl w:ilvl="1" w:tplc="373C48C2">
      <w:start w:val="1"/>
      <w:numFmt w:val="decimalZero"/>
      <w:lvlText w:val="2.%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16"/>
  </w:num>
  <w:num w:numId="5">
    <w:abstractNumId w:val="10"/>
  </w:num>
  <w:num w:numId="6">
    <w:abstractNumId w:val="18"/>
  </w:num>
  <w:num w:numId="7">
    <w:abstractNumId w:val="19"/>
  </w:num>
  <w:num w:numId="8">
    <w:abstractNumId w:val="22"/>
  </w:num>
  <w:num w:numId="9">
    <w:abstractNumId w:val="13"/>
  </w:num>
  <w:num w:numId="10">
    <w:abstractNumId w:val="4"/>
  </w:num>
  <w:num w:numId="11">
    <w:abstractNumId w:val="8"/>
  </w:num>
  <w:num w:numId="12">
    <w:abstractNumId w:val="3"/>
  </w:num>
  <w:num w:numId="13">
    <w:abstractNumId w:val="2"/>
  </w:num>
  <w:num w:numId="14">
    <w:abstractNumId w:val="0"/>
  </w:num>
  <w:num w:numId="15">
    <w:abstractNumId w:val="1"/>
  </w:num>
  <w:num w:numId="16">
    <w:abstractNumId w:val="17"/>
  </w:num>
  <w:num w:numId="17">
    <w:abstractNumId w:val="9"/>
  </w:num>
  <w:num w:numId="18">
    <w:abstractNumId w:val="6"/>
  </w:num>
  <w:num w:numId="19">
    <w:abstractNumId w:val="5"/>
  </w:num>
  <w:num w:numId="20">
    <w:abstractNumId w:val="7"/>
  </w:num>
  <w:num w:numId="21">
    <w:abstractNumId w:val="13"/>
  </w:num>
  <w:num w:numId="22">
    <w:abstractNumId w:val="21"/>
  </w:num>
  <w:num w:numId="23">
    <w:abstractNumId w:val="13"/>
    <w:lvlOverride w:ilvl="0">
      <w:lvl w:ilvl="0">
        <w:start w:val="1"/>
        <w:numFmt w:val="decimal"/>
        <w:pStyle w:val="Heading1"/>
        <w:suff w:val="space"/>
        <w:lvlText w:val="Section %1:"/>
        <w:lvlJc w:val="left"/>
        <w:pPr>
          <w:ind w:left="284" w:hanging="284"/>
        </w:pPr>
        <w:rPr>
          <w:rFonts w:ascii="Arial" w:hAnsi="Arial" w:hint="default"/>
          <w:b/>
          <w:i w:val="0"/>
          <w:color w:val="365F91" w:themeColor="accent1" w:themeShade="BF"/>
          <w:sz w:val="40"/>
        </w:rPr>
      </w:lvl>
    </w:lvlOverride>
    <w:lvlOverride w:ilvl="1">
      <w:lvl w:ilvl="1">
        <w:start w:val="1"/>
        <w:numFmt w:val="decimal"/>
        <w:pStyle w:val="Heading2"/>
        <w:suff w:val="space"/>
        <w:lvlText w:val="%1.%2"/>
        <w:lvlJc w:val="left"/>
        <w:pPr>
          <w:ind w:left="1134" w:hanging="1134"/>
        </w:pPr>
        <w:rPr>
          <w:rFonts w:ascii="Arial" w:hAnsi="Arial" w:hint="default"/>
          <w:b/>
          <w:i w:val="0"/>
          <w:color w:val="365F91" w:themeColor="accent1" w:themeShade="BF"/>
          <w:sz w:val="36"/>
          <w:szCs w:val="40"/>
        </w:rPr>
      </w:lvl>
    </w:lvlOverride>
    <w:lvlOverride w:ilvl="2">
      <w:lvl w:ilvl="2">
        <w:start w:val="1"/>
        <w:numFmt w:val="decimal"/>
        <w:pStyle w:val="Heading3"/>
        <w:suff w:val="space"/>
        <w:lvlText w:val="%1.%2.%3"/>
        <w:lvlJc w:val="left"/>
        <w:pPr>
          <w:ind w:left="720" w:firstLine="414"/>
        </w:pPr>
        <w:rPr>
          <w:rFonts w:ascii="Arial" w:hAnsi="Arial" w:hint="default"/>
          <w:color w:val="365F91" w:themeColor="accent1" w:themeShade="BF"/>
          <w:sz w:val="32"/>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24"/>
  </w:num>
  <w:num w:numId="25">
    <w:abstractNumId w:val="15"/>
  </w:num>
  <w:num w:numId="26">
    <w:abstractNumId w:val="20"/>
  </w:num>
  <w:num w:numId="27">
    <w:abstractNumId w:val="16"/>
  </w:num>
  <w:num w:numId="28">
    <w:abstractNumId w:val="23"/>
  </w:num>
  <w:num w:numId="29">
    <w:abstractNumId w:val="11"/>
  </w:num>
  <w:num w:numId="30">
    <w:abstractNumId w:val="12"/>
    <w:lvlOverride w:ilvl="0">
      <w:lvl w:ilvl="0">
        <w:start w:val="1"/>
        <w:numFmt w:val="decimal"/>
        <w:lvlText w:val="RG 261.%1"/>
        <w:lvlJc w:val="left"/>
        <w:pPr>
          <w:tabs>
            <w:tab w:val="num" w:pos="2268"/>
          </w:tabs>
          <w:ind w:left="2268" w:hanging="1134"/>
        </w:pPr>
        <w:rPr>
          <w:rFonts w:hint="default"/>
          <w:b w:val="0"/>
          <w:i w:val="0"/>
          <w:color w:val="auto"/>
          <w:sz w:val="18"/>
          <w:szCs w:val="18"/>
        </w:rPr>
      </w:lvl>
    </w:lvlOverride>
    <w:lvlOverride w:ilvl="1">
      <w:lvl w:ilvl="1">
        <w:start w:val="1"/>
        <w:numFmt w:val="lowerLetter"/>
        <w:lvlText w:val="(%2)"/>
        <w:lvlJc w:val="left"/>
        <w:pPr>
          <w:tabs>
            <w:tab w:val="num" w:pos="2693"/>
          </w:tabs>
          <w:ind w:left="2693" w:hanging="425"/>
        </w:pPr>
        <w:rPr>
          <w:rFonts w:hint="default"/>
          <w:b w:val="0"/>
          <w:i w:val="0"/>
          <w:color w:val="auto"/>
          <w:sz w:val="18"/>
          <w:szCs w:val="18"/>
        </w:rPr>
      </w:lvl>
    </w:lvlOverride>
    <w:lvlOverride w:ilvl="2">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lvlText w:val="(%4)"/>
        <w:lvlJc w:val="left"/>
        <w:pPr>
          <w:tabs>
            <w:tab w:val="num" w:pos="3544"/>
          </w:tabs>
          <w:ind w:left="3544" w:hanging="425"/>
        </w:pPr>
        <w:rPr>
          <w:rFonts w:hint="default"/>
          <w:sz w:val="16"/>
          <w:szCs w:val="16"/>
        </w:rPr>
      </w:lvl>
    </w:lvlOverride>
    <w:lvlOverride w:ilvl="4">
      <w:lvl w:ilvl="4">
        <w:start w:val="1"/>
        <w:numFmt w:val="upperRoman"/>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A"/>
    <w:rsid w:val="00002B61"/>
    <w:rsid w:val="0000625D"/>
    <w:rsid w:val="00011091"/>
    <w:rsid w:val="00025034"/>
    <w:rsid w:val="000324DD"/>
    <w:rsid w:val="00042C87"/>
    <w:rsid w:val="00043E09"/>
    <w:rsid w:val="00045756"/>
    <w:rsid w:val="00046361"/>
    <w:rsid w:val="000522ED"/>
    <w:rsid w:val="00052B05"/>
    <w:rsid w:val="000601D5"/>
    <w:rsid w:val="00060316"/>
    <w:rsid w:val="000647A8"/>
    <w:rsid w:val="000672B1"/>
    <w:rsid w:val="00067C6B"/>
    <w:rsid w:val="0007304F"/>
    <w:rsid w:val="00074425"/>
    <w:rsid w:val="000751F5"/>
    <w:rsid w:val="000808E5"/>
    <w:rsid w:val="000812CE"/>
    <w:rsid w:val="000864A5"/>
    <w:rsid w:val="00087B27"/>
    <w:rsid w:val="000938ED"/>
    <w:rsid w:val="00096727"/>
    <w:rsid w:val="000A2DDC"/>
    <w:rsid w:val="000A48DE"/>
    <w:rsid w:val="000A6D7F"/>
    <w:rsid w:val="000B4174"/>
    <w:rsid w:val="000C1C23"/>
    <w:rsid w:val="000C23CA"/>
    <w:rsid w:val="000C3A0B"/>
    <w:rsid w:val="000C7434"/>
    <w:rsid w:val="000D270E"/>
    <w:rsid w:val="000E0153"/>
    <w:rsid w:val="000E0E8B"/>
    <w:rsid w:val="000E0F27"/>
    <w:rsid w:val="000E550A"/>
    <w:rsid w:val="000E620B"/>
    <w:rsid w:val="000E6758"/>
    <w:rsid w:val="000F5C87"/>
    <w:rsid w:val="001013EB"/>
    <w:rsid w:val="00101BA2"/>
    <w:rsid w:val="001034C4"/>
    <w:rsid w:val="001056DA"/>
    <w:rsid w:val="00105C26"/>
    <w:rsid w:val="00115C5E"/>
    <w:rsid w:val="0012394E"/>
    <w:rsid w:val="00125D24"/>
    <w:rsid w:val="00136579"/>
    <w:rsid w:val="001450BD"/>
    <w:rsid w:val="00146492"/>
    <w:rsid w:val="001465D2"/>
    <w:rsid w:val="00157AA7"/>
    <w:rsid w:val="00160AB5"/>
    <w:rsid w:val="00167FE0"/>
    <w:rsid w:val="001712B4"/>
    <w:rsid w:val="00174292"/>
    <w:rsid w:val="00174756"/>
    <w:rsid w:val="001748FA"/>
    <w:rsid w:val="00174BEA"/>
    <w:rsid w:val="001819D2"/>
    <w:rsid w:val="00185E58"/>
    <w:rsid w:val="001914FF"/>
    <w:rsid w:val="001915A2"/>
    <w:rsid w:val="00196DD8"/>
    <w:rsid w:val="001A1FE3"/>
    <w:rsid w:val="001A2117"/>
    <w:rsid w:val="001A21A4"/>
    <w:rsid w:val="001A24AD"/>
    <w:rsid w:val="001A6188"/>
    <w:rsid w:val="001B1F02"/>
    <w:rsid w:val="001B74CF"/>
    <w:rsid w:val="001C58F0"/>
    <w:rsid w:val="001C665A"/>
    <w:rsid w:val="001D12B1"/>
    <w:rsid w:val="001D5FF5"/>
    <w:rsid w:val="001D7F11"/>
    <w:rsid w:val="001E3DF2"/>
    <w:rsid w:val="001F0A5F"/>
    <w:rsid w:val="001F1ADF"/>
    <w:rsid w:val="001F2D74"/>
    <w:rsid w:val="002109F8"/>
    <w:rsid w:val="0021262C"/>
    <w:rsid w:val="002144FC"/>
    <w:rsid w:val="00225AA6"/>
    <w:rsid w:val="00233CA1"/>
    <w:rsid w:val="00243BFF"/>
    <w:rsid w:val="00245C2F"/>
    <w:rsid w:val="0025239F"/>
    <w:rsid w:val="00252A5B"/>
    <w:rsid w:val="0025609F"/>
    <w:rsid w:val="00256E49"/>
    <w:rsid w:val="00260671"/>
    <w:rsid w:val="00270FEF"/>
    <w:rsid w:val="00274472"/>
    <w:rsid w:val="00275E8A"/>
    <w:rsid w:val="00285141"/>
    <w:rsid w:val="00291B24"/>
    <w:rsid w:val="00292C62"/>
    <w:rsid w:val="002930F5"/>
    <w:rsid w:val="002B3096"/>
    <w:rsid w:val="002B3932"/>
    <w:rsid w:val="002B5FA9"/>
    <w:rsid w:val="002C0017"/>
    <w:rsid w:val="002C0147"/>
    <w:rsid w:val="002C57BF"/>
    <w:rsid w:val="002C795A"/>
    <w:rsid w:val="002D45A7"/>
    <w:rsid w:val="002E24C0"/>
    <w:rsid w:val="002F03B3"/>
    <w:rsid w:val="002F24AE"/>
    <w:rsid w:val="002F3A62"/>
    <w:rsid w:val="00300208"/>
    <w:rsid w:val="00302070"/>
    <w:rsid w:val="003107B6"/>
    <w:rsid w:val="00311B1C"/>
    <w:rsid w:val="00317452"/>
    <w:rsid w:val="00320D9A"/>
    <w:rsid w:val="00324388"/>
    <w:rsid w:val="0032664F"/>
    <w:rsid w:val="003303B3"/>
    <w:rsid w:val="003450EC"/>
    <w:rsid w:val="00345A79"/>
    <w:rsid w:val="00356FF6"/>
    <w:rsid w:val="00370362"/>
    <w:rsid w:val="00374124"/>
    <w:rsid w:val="003772EF"/>
    <w:rsid w:val="00377F59"/>
    <w:rsid w:val="003862AB"/>
    <w:rsid w:val="00386A01"/>
    <w:rsid w:val="00392073"/>
    <w:rsid w:val="00397ED8"/>
    <w:rsid w:val="003A3FFC"/>
    <w:rsid w:val="003A4047"/>
    <w:rsid w:val="003A641E"/>
    <w:rsid w:val="003A6E42"/>
    <w:rsid w:val="003A712D"/>
    <w:rsid w:val="003B0F9D"/>
    <w:rsid w:val="003C2014"/>
    <w:rsid w:val="003C67E6"/>
    <w:rsid w:val="003C6B2A"/>
    <w:rsid w:val="003D2096"/>
    <w:rsid w:val="003D400F"/>
    <w:rsid w:val="003D6D2E"/>
    <w:rsid w:val="003D727F"/>
    <w:rsid w:val="003D7A31"/>
    <w:rsid w:val="003E04E1"/>
    <w:rsid w:val="003F0D05"/>
    <w:rsid w:val="003F2014"/>
    <w:rsid w:val="003F20B3"/>
    <w:rsid w:val="003F3291"/>
    <w:rsid w:val="003F6E3A"/>
    <w:rsid w:val="004011F4"/>
    <w:rsid w:val="00403530"/>
    <w:rsid w:val="004115AF"/>
    <w:rsid w:val="00414966"/>
    <w:rsid w:val="004248CE"/>
    <w:rsid w:val="00424FE9"/>
    <w:rsid w:val="0042516E"/>
    <w:rsid w:val="00425777"/>
    <w:rsid w:val="00426CB6"/>
    <w:rsid w:val="00427AD5"/>
    <w:rsid w:val="004322B0"/>
    <w:rsid w:val="00435664"/>
    <w:rsid w:val="00437B95"/>
    <w:rsid w:val="004437F2"/>
    <w:rsid w:val="0044576E"/>
    <w:rsid w:val="00445C6D"/>
    <w:rsid w:val="00447EEF"/>
    <w:rsid w:val="004506D6"/>
    <w:rsid w:val="00453ED0"/>
    <w:rsid w:val="004563C7"/>
    <w:rsid w:val="00464439"/>
    <w:rsid w:val="00470107"/>
    <w:rsid w:val="004717AC"/>
    <w:rsid w:val="004728D6"/>
    <w:rsid w:val="00490506"/>
    <w:rsid w:val="00490F76"/>
    <w:rsid w:val="00494A00"/>
    <w:rsid w:val="004A5BB3"/>
    <w:rsid w:val="004A65F9"/>
    <w:rsid w:val="004A799D"/>
    <w:rsid w:val="004B2339"/>
    <w:rsid w:val="004B6B9D"/>
    <w:rsid w:val="004B7E03"/>
    <w:rsid w:val="004C0C57"/>
    <w:rsid w:val="004C3F83"/>
    <w:rsid w:val="004C4DF9"/>
    <w:rsid w:val="004C623D"/>
    <w:rsid w:val="004C7A25"/>
    <w:rsid w:val="004C7BAC"/>
    <w:rsid w:val="004E13F3"/>
    <w:rsid w:val="004E4913"/>
    <w:rsid w:val="004E5E2D"/>
    <w:rsid w:val="004F1719"/>
    <w:rsid w:val="004F2EDE"/>
    <w:rsid w:val="004F4B66"/>
    <w:rsid w:val="005046FE"/>
    <w:rsid w:val="005069D1"/>
    <w:rsid w:val="0051618A"/>
    <w:rsid w:val="00521219"/>
    <w:rsid w:val="00523962"/>
    <w:rsid w:val="0052669F"/>
    <w:rsid w:val="00527197"/>
    <w:rsid w:val="0052761D"/>
    <w:rsid w:val="0052779B"/>
    <w:rsid w:val="00535169"/>
    <w:rsid w:val="00535504"/>
    <w:rsid w:val="00544444"/>
    <w:rsid w:val="0054639E"/>
    <w:rsid w:val="005468D4"/>
    <w:rsid w:val="00547589"/>
    <w:rsid w:val="00550EB7"/>
    <w:rsid w:val="005571A8"/>
    <w:rsid w:val="00557C6F"/>
    <w:rsid w:val="00557D69"/>
    <w:rsid w:val="00563581"/>
    <w:rsid w:val="00563643"/>
    <w:rsid w:val="005642CF"/>
    <w:rsid w:val="0056585C"/>
    <w:rsid w:val="005660E4"/>
    <w:rsid w:val="00572EFB"/>
    <w:rsid w:val="00575520"/>
    <w:rsid w:val="005811CA"/>
    <w:rsid w:val="00583546"/>
    <w:rsid w:val="00583CDC"/>
    <w:rsid w:val="00584B2F"/>
    <w:rsid w:val="005939DE"/>
    <w:rsid w:val="005A1691"/>
    <w:rsid w:val="005A267A"/>
    <w:rsid w:val="005A6DC7"/>
    <w:rsid w:val="005B1C59"/>
    <w:rsid w:val="005C248F"/>
    <w:rsid w:val="005C2700"/>
    <w:rsid w:val="005D1EFD"/>
    <w:rsid w:val="005D566E"/>
    <w:rsid w:val="005D580E"/>
    <w:rsid w:val="005D60E8"/>
    <w:rsid w:val="005E0075"/>
    <w:rsid w:val="005E1C27"/>
    <w:rsid w:val="005E23D1"/>
    <w:rsid w:val="005E5825"/>
    <w:rsid w:val="005F104E"/>
    <w:rsid w:val="005F1753"/>
    <w:rsid w:val="005F3A26"/>
    <w:rsid w:val="006054BE"/>
    <w:rsid w:val="00611454"/>
    <w:rsid w:val="00612D02"/>
    <w:rsid w:val="00617E3B"/>
    <w:rsid w:val="0062348F"/>
    <w:rsid w:val="006259A4"/>
    <w:rsid w:val="00630545"/>
    <w:rsid w:val="006314B6"/>
    <w:rsid w:val="00632AA8"/>
    <w:rsid w:val="00634D3F"/>
    <w:rsid w:val="00636C03"/>
    <w:rsid w:val="00640F44"/>
    <w:rsid w:val="00642D0B"/>
    <w:rsid w:val="0064399C"/>
    <w:rsid w:val="00646193"/>
    <w:rsid w:val="00646E7B"/>
    <w:rsid w:val="00650BFD"/>
    <w:rsid w:val="00651F5E"/>
    <w:rsid w:val="00661C6E"/>
    <w:rsid w:val="006626DE"/>
    <w:rsid w:val="006635A3"/>
    <w:rsid w:val="00673102"/>
    <w:rsid w:val="00676396"/>
    <w:rsid w:val="00684F77"/>
    <w:rsid w:val="00687A60"/>
    <w:rsid w:val="006949E0"/>
    <w:rsid w:val="006A2A64"/>
    <w:rsid w:val="006A3BF0"/>
    <w:rsid w:val="006A7EDF"/>
    <w:rsid w:val="006B2552"/>
    <w:rsid w:val="006B4A94"/>
    <w:rsid w:val="006B4FE2"/>
    <w:rsid w:val="006B7792"/>
    <w:rsid w:val="006C5CDA"/>
    <w:rsid w:val="006D5B11"/>
    <w:rsid w:val="006E1780"/>
    <w:rsid w:val="006E5AF5"/>
    <w:rsid w:val="006E6813"/>
    <w:rsid w:val="006F22DA"/>
    <w:rsid w:val="00700ABA"/>
    <w:rsid w:val="00710161"/>
    <w:rsid w:val="00711652"/>
    <w:rsid w:val="00711B69"/>
    <w:rsid w:val="00714A0C"/>
    <w:rsid w:val="00715AC5"/>
    <w:rsid w:val="00716130"/>
    <w:rsid w:val="0071618B"/>
    <w:rsid w:val="00717752"/>
    <w:rsid w:val="0072027D"/>
    <w:rsid w:val="007228A1"/>
    <w:rsid w:val="00725573"/>
    <w:rsid w:val="00727AE3"/>
    <w:rsid w:val="007325D2"/>
    <w:rsid w:val="00734ACB"/>
    <w:rsid w:val="007360A7"/>
    <w:rsid w:val="00742794"/>
    <w:rsid w:val="00742E31"/>
    <w:rsid w:val="00751109"/>
    <w:rsid w:val="007525F2"/>
    <w:rsid w:val="0076390F"/>
    <w:rsid w:val="007649E7"/>
    <w:rsid w:val="007728A6"/>
    <w:rsid w:val="00773456"/>
    <w:rsid w:val="007741FB"/>
    <w:rsid w:val="0078693B"/>
    <w:rsid w:val="007B166E"/>
    <w:rsid w:val="007B711C"/>
    <w:rsid w:val="007C127E"/>
    <w:rsid w:val="007C24BE"/>
    <w:rsid w:val="007C6926"/>
    <w:rsid w:val="007D69C7"/>
    <w:rsid w:val="007E5547"/>
    <w:rsid w:val="007F0497"/>
    <w:rsid w:val="007F3AE8"/>
    <w:rsid w:val="007F7B4E"/>
    <w:rsid w:val="008010D1"/>
    <w:rsid w:val="00804778"/>
    <w:rsid w:val="008051B2"/>
    <w:rsid w:val="008122A7"/>
    <w:rsid w:val="0081575E"/>
    <w:rsid w:val="008168DC"/>
    <w:rsid w:val="00816C72"/>
    <w:rsid w:val="00822F41"/>
    <w:rsid w:val="00833D4E"/>
    <w:rsid w:val="00835AF3"/>
    <w:rsid w:val="008405DB"/>
    <w:rsid w:val="0084179F"/>
    <w:rsid w:val="00842DD3"/>
    <w:rsid w:val="00851714"/>
    <w:rsid w:val="00855373"/>
    <w:rsid w:val="00856B91"/>
    <w:rsid w:val="00863894"/>
    <w:rsid w:val="00867853"/>
    <w:rsid w:val="008710DF"/>
    <w:rsid w:val="00872C50"/>
    <w:rsid w:val="00877BC9"/>
    <w:rsid w:val="00880534"/>
    <w:rsid w:val="00880DC8"/>
    <w:rsid w:val="00884154"/>
    <w:rsid w:val="00892B9C"/>
    <w:rsid w:val="008934B3"/>
    <w:rsid w:val="008942D5"/>
    <w:rsid w:val="008A0200"/>
    <w:rsid w:val="008A3B5F"/>
    <w:rsid w:val="008C05C3"/>
    <w:rsid w:val="008C4613"/>
    <w:rsid w:val="008C4D47"/>
    <w:rsid w:val="008D0AF7"/>
    <w:rsid w:val="008E52F8"/>
    <w:rsid w:val="008F0662"/>
    <w:rsid w:val="00900EE4"/>
    <w:rsid w:val="00901CCA"/>
    <w:rsid w:val="0090214A"/>
    <w:rsid w:val="00902AC5"/>
    <w:rsid w:val="00904E6A"/>
    <w:rsid w:val="00906217"/>
    <w:rsid w:val="0091266A"/>
    <w:rsid w:val="00912FC7"/>
    <w:rsid w:val="00913B1F"/>
    <w:rsid w:val="009141EB"/>
    <w:rsid w:val="009151B0"/>
    <w:rsid w:val="009158E3"/>
    <w:rsid w:val="00923612"/>
    <w:rsid w:val="009368CC"/>
    <w:rsid w:val="009402AE"/>
    <w:rsid w:val="0094064D"/>
    <w:rsid w:val="009412AC"/>
    <w:rsid w:val="009448E6"/>
    <w:rsid w:val="009459FB"/>
    <w:rsid w:val="009470A7"/>
    <w:rsid w:val="00950ACD"/>
    <w:rsid w:val="00960BDE"/>
    <w:rsid w:val="00966E49"/>
    <w:rsid w:val="00972D55"/>
    <w:rsid w:val="00990DCF"/>
    <w:rsid w:val="00991A9B"/>
    <w:rsid w:val="009A48E8"/>
    <w:rsid w:val="009B09BD"/>
    <w:rsid w:val="009B2E28"/>
    <w:rsid w:val="009C2BC0"/>
    <w:rsid w:val="009D5FBA"/>
    <w:rsid w:val="009D7673"/>
    <w:rsid w:val="009E1892"/>
    <w:rsid w:val="009E418B"/>
    <w:rsid w:val="009E4C5F"/>
    <w:rsid w:val="009E567B"/>
    <w:rsid w:val="009F3CB6"/>
    <w:rsid w:val="009F4373"/>
    <w:rsid w:val="00A03402"/>
    <w:rsid w:val="00A056B3"/>
    <w:rsid w:val="00A1696E"/>
    <w:rsid w:val="00A243F4"/>
    <w:rsid w:val="00A31257"/>
    <w:rsid w:val="00A3218F"/>
    <w:rsid w:val="00A325A7"/>
    <w:rsid w:val="00A328BA"/>
    <w:rsid w:val="00A40897"/>
    <w:rsid w:val="00A41134"/>
    <w:rsid w:val="00A51162"/>
    <w:rsid w:val="00A52A76"/>
    <w:rsid w:val="00A5421F"/>
    <w:rsid w:val="00A54833"/>
    <w:rsid w:val="00A552AA"/>
    <w:rsid w:val="00A62174"/>
    <w:rsid w:val="00A75010"/>
    <w:rsid w:val="00A84D6F"/>
    <w:rsid w:val="00A85A12"/>
    <w:rsid w:val="00A921CD"/>
    <w:rsid w:val="00A9469F"/>
    <w:rsid w:val="00AA006D"/>
    <w:rsid w:val="00AB0DD0"/>
    <w:rsid w:val="00AB2141"/>
    <w:rsid w:val="00AB7EBC"/>
    <w:rsid w:val="00AC0E88"/>
    <w:rsid w:val="00AC4D90"/>
    <w:rsid w:val="00AC577F"/>
    <w:rsid w:val="00AC7A88"/>
    <w:rsid w:val="00AD19AD"/>
    <w:rsid w:val="00AD1C07"/>
    <w:rsid w:val="00AD556D"/>
    <w:rsid w:val="00AD5CF1"/>
    <w:rsid w:val="00AE123A"/>
    <w:rsid w:val="00AE40BC"/>
    <w:rsid w:val="00AE45A3"/>
    <w:rsid w:val="00AE590C"/>
    <w:rsid w:val="00AF2E61"/>
    <w:rsid w:val="00B0033F"/>
    <w:rsid w:val="00B12384"/>
    <w:rsid w:val="00B124B7"/>
    <w:rsid w:val="00B13F91"/>
    <w:rsid w:val="00B159C1"/>
    <w:rsid w:val="00B163DF"/>
    <w:rsid w:val="00B2091F"/>
    <w:rsid w:val="00B225FC"/>
    <w:rsid w:val="00B22683"/>
    <w:rsid w:val="00B23DAC"/>
    <w:rsid w:val="00B24CE1"/>
    <w:rsid w:val="00B30A87"/>
    <w:rsid w:val="00B336FB"/>
    <w:rsid w:val="00B34111"/>
    <w:rsid w:val="00B36006"/>
    <w:rsid w:val="00B411A1"/>
    <w:rsid w:val="00B4219B"/>
    <w:rsid w:val="00B47108"/>
    <w:rsid w:val="00B47F7B"/>
    <w:rsid w:val="00B54966"/>
    <w:rsid w:val="00B55690"/>
    <w:rsid w:val="00B63E4A"/>
    <w:rsid w:val="00B7136C"/>
    <w:rsid w:val="00B721E3"/>
    <w:rsid w:val="00B76328"/>
    <w:rsid w:val="00B7680F"/>
    <w:rsid w:val="00B836B3"/>
    <w:rsid w:val="00B851D4"/>
    <w:rsid w:val="00B863CF"/>
    <w:rsid w:val="00B877FC"/>
    <w:rsid w:val="00BA2A3A"/>
    <w:rsid w:val="00BA7263"/>
    <w:rsid w:val="00BB5ED9"/>
    <w:rsid w:val="00BC1668"/>
    <w:rsid w:val="00BC1AB5"/>
    <w:rsid w:val="00BC55AE"/>
    <w:rsid w:val="00BC59B9"/>
    <w:rsid w:val="00BD7C49"/>
    <w:rsid w:val="00BE24E1"/>
    <w:rsid w:val="00BE7E2E"/>
    <w:rsid w:val="00C05F35"/>
    <w:rsid w:val="00C0667E"/>
    <w:rsid w:val="00C12696"/>
    <w:rsid w:val="00C12FC4"/>
    <w:rsid w:val="00C15033"/>
    <w:rsid w:val="00C179B7"/>
    <w:rsid w:val="00C2072E"/>
    <w:rsid w:val="00C5160C"/>
    <w:rsid w:val="00C53316"/>
    <w:rsid w:val="00C5662A"/>
    <w:rsid w:val="00C60BC5"/>
    <w:rsid w:val="00C62847"/>
    <w:rsid w:val="00C676E9"/>
    <w:rsid w:val="00C7359B"/>
    <w:rsid w:val="00C74AB4"/>
    <w:rsid w:val="00C76331"/>
    <w:rsid w:val="00C774BF"/>
    <w:rsid w:val="00C820A2"/>
    <w:rsid w:val="00C83871"/>
    <w:rsid w:val="00C8611D"/>
    <w:rsid w:val="00C87499"/>
    <w:rsid w:val="00C87E9F"/>
    <w:rsid w:val="00C91966"/>
    <w:rsid w:val="00C96BED"/>
    <w:rsid w:val="00CA103B"/>
    <w:rsid w:val="00CA26A4"/>
    <w:rsid w:val="00CA3395"/>
    <w:rsid w:val="00CA33D6"/>
    <w:rsid w:val="00CA6D7E"/>
    <w:rsid w:val="00CA6EE5"/>
    <w:rsid w:val="00CB1AC5"/>
    <w:rsid w:val="00CB4AFF"/>
    <w:rsid w:val="00CC68CB"/>
    <w:rsid w:val="00CD3E14"/>
    <w:rsid w:val="00CD6401"/>
    <w:rsid w:val="00CF3399"/>
    <w:rsid w:val="00CF5E02"/>
    <w:rsid w:val="00CF776E"/>
    <w:rsid w:val="00D03794"/>
    <w:rsid w:val="00D05173"/>
    <w:rsid w:val="00D1076A"/>
    <w:rsid w:val="00D13648"/>
    <w:rsid w:val="00D15000"/>
    <w:rsid w:val="00D2172D"/>
    <w:rsid w:val="00D23450"/>
    <w:rsid w:val="00D253C6"/>
    <w:rsid w:val="00D25ADF"/>
    <w:rsid w:val="00D30927"/>
    <w:rsid w:val="00D30BB1"/>
    <w:rsid w:val="00D3201C"/>
    <w:rsid w:val="00D322BD"/>
    <w:rsid w:val="00D3321A"/>
    <w:rsid w:val="00D40B22"/>
    <w:rsid w:val="00D425C3"/>
    <w:rsid w:val="00D45AB1"/>
    <w:rsid w:val="00D45F64"/>
    <w:rsid w:val="00D46EB4"/>
    <w:rsid w:val="00D51B90"/>
    <w:rsid w:val="00D523F7"/>
    <w:rsid w:val="00D60CAE"/>
    <w:rsid w:val="00D61BB7"/>
    <w:rsid w:val="00D66B90"/>
    <w:rsid w:val="00D71B16"/>
    <w:rsid w:val="00D7245D"/>
    <w:rsid w:val="00D81CB0"/>
    <w:rsid w:val="00D84A82"/>
    <w:rsid w:val="00D84B9E"/>
    <w:rsid w:val="00D85868"/>
    <w:rsid w:val="00D862BB"/>
    <w:rsid w:val="00D93760"/>
    <w:rsid w:val="00D961DB"/>
    <w:rsid w:val="00D9641B"/>
    <w:rsid w:val="00DB19B1"/>
    <w:rsid w:val="00DB5CD6"/>
    <w:rsid w:val="00DC3385"/>
    <w:rsid w:val="00DC4E5C"/>
    <w:rsid w:val="00DC695E"/>
    <w:rsid w:val="00DE737D"/>
    <w:rsid w:val="00DF1BE0"/>
    <w:rsid w:val="00DF5A08"/>
    <w:rsid w:val="00DF68C2"/>
    <w:rsid w:val="00DF6B6B"/>
    <w:rsid w:val="00E00126"/>
    <w:rsid w:val="00E03DCE"/>
    <w:rsid w:val="00E05706"/>
    <w:rsid w:val="00E121AA"/>
    <w:rsid w:val="00E21689"/>
    <w:rsid w:val="00E24D5D"/>
    <w:rsid w:val="00E257CB"/>
    <w:rsid w:val="00E310E5"/>
    <w:rsid w:val="00E312DC"/>
    <w:rsid w:val="00E403C2"/>
    <w:rsid w:val="00E476D3"/>
    <w:rsid w:val="00E51BCD"/>
    <w:rsid w:val="00E539F9"/>
    <w:rsid w:val="00E607DC"/>
    <w:rsid w:val="00E60E21"/>
    <w:rsid w:val="00E65C3D"/>
    <w:rsid w:val="00E80C0C"/>
    <w:rsid w:val="00E845E1"/>
    <w:rsid w:val="00EA4D82"/>
    <w:rsid w:val="00EB0C3E"/>
    <w:rsid w:val="00EB1235"/>
    <w:rsid w:val="00EB1FCF"/>
    <w:rsid w:val="00EB52FC"/>
    <w:rsid w:val="00EB5532"/>
    <w:rsid w:val="00EC0752"/>
    <w:rsid w:val="00ED2417"/>
    <w:rsid w:val="00ED5B8C"/>
    <w:rsid w:val="00ED6F4E"/>
    <w:rsid w:val="00EE1E0D"/>
    <w:rsid w:val="00EE4372"/>
    <w:rsid w:val="00EE4A35"/>
    <w:rsid w:val="00EE6AA5"/>
    <w:rsid w:val="00EE7C79"/>
    <w:rsid w:val="00EF081C"/>
    <w:rsid w:val="00EF317B"/>
    <w:rsid w:val="00EF49FD"/>
    <w:rsid w:val="00F05BFA"/>
    <w:rsid w:val="00F14599"/>
    <w:rsid w:val="00F15B97"/>
    <w:rsid w:val="00F202AB"/>
    <w:rsid w:val="00F209BB"/>
    <w:rsid w:val="00F24006"/>
    <w:rsid w:val="00F25DDE"/>
    <w:rsid w:val="00F32162"/>
    <w:rsid w:val="00F34D88"/>
    <w:rsid w:val="00F36312"/>
    <w:rsid w:val="00F36E9C"/>
    <w:rsid w:val="00F401A2"/>
    <w:rsid w:val="00F4067F"/>
    <w:rsid w:val="00F47A87"/>
    <w:rsid w:val="00F5253E"/>
    <w:rsid w:val="00F55A5E"/>
    <w:rsid w:val="00F57C66"/>
    <w:rsid w:val="00F70FCB"/>
    <w:rsid w:val="00F73383"/>
    <w:rsid w:val="00F75BB5"/>
    <w:rsid w:val="00F835FD"/>
    <w:rsid w:val="00F84BC6"/>
    <w:rsid w:val="00F87B5E"/>
    <w:rsid w:val="00F87F75"/>
    <w:rsid w:val="00F927B6"/>
    <w:rsid w:val="00F93E88"/>
    <w:rsid w:val="00FA0E99"/>
    <w:rsid w:val="00FA1BF0"/>
    <w:rsid w:val="00FA41BE"/>
    <w:rsid w:val="00FA424B"/>
    <w:rsid w:val="00FA43F6"/>
    <w:rsid w:val="00FA506B"/>
    <w:rsid w:val="00FA6A14"/>
    <w:rsid w:val="00FB2CF3"/>
    <w:rsid w:val="00FC2754"/>
    <w:rsid w:val="00FC465B"/>
    <w:rsid w:val="00FC7C75"/>
    <w:rsid w:val="00FD143B"/>
    <w:rsid w:val="00FD150B"/>
    <w:rsid w:val="00FD3FC6"/>
    <w:rsid w:val="00FD5942"/>
    <w:rsid w:val="00FE06A8"/>
    <w:rsid w:val="00FE1CE5"/>
    <w:rsid w:val="00FE66FE"/>
    <w:rsid w:val="00FE6730"/>
    <w:rsid w:val="00FE6C11"/>
    <w:rsid w:val="00FF2107"/>
    <w:rsid w:val="00FF2571"/>
    <w:rsid w:val="00FF4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AA8CD8"/>
  <w15:docId w15:val="{1248E842-5B91-47CD-944B-06F751AB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E550A"/>
    <w:pPr>
      <w:spacing w:after="240"/>
    </w:pPr>
    <w:rPr>
      <w:rFonts w:ascii="Times New Roman" w:eastAsia="Times New Roman" w:hAnsi="Times New Roman"/>
      <w:sz w:val="22"/>
      <w:lang w:eastAsia="en-US"/>
    </w:rPr>
  </w:style>
  <w:style w:type="paragraph" w:styleId="Heading1">
    <w:name w:val="heading 1"/>
    <w:basedOn w:val="Normal"/>
    <w:next w:val="Heading2"/>
    <w:link w:val="Heading1Char"/>
    <w:qFormat/>
    <w:rsid w:val="004437F2"/>
    <w:pPr>
      <w:keepNext/>
      <w:pageBreakBefore/>
      <w:numPr>
        <w:numId w:val="21"/>
      </w:numPr>
      <w:pBdr>
        <w:top w:val="single" w:sz="4" w:space="4" w:color="auto"/>
        <w:bottom w:val="single" w:sz="4" w:space="1" w:color="auto"/>
      </w:pBdr>
      <w:spacing w:after="0" w:line="276" w:lineRule="auto"/>
      <w:contextualSpacing/>
      <w:outlineLvl w:val="0"/>
    </w:pPr>
    <w:rPr>
      <w:rFonts w:ascii="Arial" w:hAnsi="Arial"/>
      <w:b/>
      <w:sz w:val="40"/>
      <w:szCs w:val="40"/>
    </w:rPr>
  </w:style>
  <w:style w:type="paragraph" w:styleId="Heading2">
    <w:name w:val="heading 2"/>
    <w:basedOn w:val="Normal"/>
    <w:next w:val="Normal"/>
    <w:link w:val="Heading2Char"/>
    <w:qFormat/>
    <w:rsid w:val="00AD1C07"/>
    <w:pPr>
      <w:keepNext/>
      <w:numPr>
        <w:ilvl w:val="1"/>
        <w:numId w:val="21"/>
      </w:numPr>
      <w:spacing w:before="320" w:after="0"/>
      <w:contextualSpacing/>
      <w:outlineLvl w:val="1"/>
    </w:pPr>
    <w:rPr>
      <w:rFonts w:ascii="Arial" w:hAnsi="Arial"/>
      <w:b/>
      <w:color w:val="000000"/>
      <w:sz w:val="32"/>
      <w:szCs w:val="32"/>
    </w:rPr>
  </w:style>
  <w:style w:type="paragraph" w:styleId="Heading3">
    <w:name w:val="heading 3"/>
    <w:basedOn w:val="Normal"/>
    <w:next w:val="Normal"/>
    <w:link w:val="Heading3Char"/>
    <w:qFormat/>
    <w:rsid w:val="00AD1C07"/>
    <w:pPr>
      <w:keepNext/>
      <w:numPr>
        <w:ilvl w:val="2"/>
        <w:numId w:val="21"/>
      </w:numPr>
      <w:spacing w:before="280" w:after="0" w:line="280" w:lineRule="atLeast"/>
      <w:outlineLvl w:val="2"/>
    </w:pPr>
    <w:rPr>
      <w:rFonts w:ascii="Arial" w:hAnsi="Arial" w:cs="Arial"/>
      <w:color w:val="000000"/>
      <w:sz w:val="28"/>
      <w:szCs w:val="28"/>
    </w:rPr>
  </w:style>
  <w:style w:type="paragraph" w:styleId="Heading4">
    <w:name w:val="heading 4"/>
    <w:basedOn w:val="Normal"/>
    <w:next w:val="Normal"/>
    <w:link w:val="Heading4Char"/>
    <w:qFormat/>
    <w:rsid w:val="00045756"/>
    <w:pPr>
      <w:keepNext/>
      <w:spacing w:before="240" w:after="120"/>
      <w:outlineLvl w:val="3"/>
    </w:pPr>
    <w:rPr>
      <w:rFonts w:ascii="Arial" w:hAnsi="Arial" w:cs="Arial"/>
      <w:b/>
      <w:szCs w:val="22"/>
    </w:rPr>
  </w:style>
  <w:style w:type="paragraph" w:styleId="Heading5">
    <w:name w:val="heading 5"/>
    <w:basedOn w:val="Normal"/>
    <w:next w:val="Normal"/>
    <w:link w:val="Heading5Char"/>
    <w:rsid w:val="000E550A"/>
    <w:pPr>
      <w:keepNext/>
      <w:numPr>
        <w:ilvl w:val="4"/>
        <w:numId w:val="21"/>
      </w:numPr>
      <w:spacing w:before="280" w:after="0" w:line="280" w:lineRule="atLeast"/>
      <w:outlineLvl w:val="4"/>
    </w:pPr>
    <w:rPr>
      <w:rFonts w:ascii="Arial" w:hAnsi="Arial" w:cs="Arial"/>
      <w:i/>
      <w:sz w:val="20"/>
    </w:rPr>
  </w:style>
  <w:style w:type="paragraph" w:styleId="Heading6">
    <w:name w:val="heading 6"/>
    <w:basedOn w:val="Normal"/>
    <w:next w:val="Normal"/>
    <w:link w:val="Heading6Char"/>
    <w:rsid w:val="000E550A"/>
    <w:pPr>
      <w:keepNext/>
      <w:pageBreakBefore/>
      <w:numPr>
        <w:ilvl w:val="5"/>
        <w:numId w:val="21"/>
      </w:numPr>
      <w:spacing w:after="400" w:line="280" w:lineRule="atLeast"/>
      <w:outlineLvl w:val="5"/>
    </w:pPr>
    <w:rPr>
      <w:rFonts w:ascii="Arial" w:hAnsi="Arial" w:cs="Arial"/>
      <w:b/>
      <w:kern w:val="28"/>
      <w:sz w:val="36"/>
      <w:szCs w:val="36"/>
    </w:rPr>
  </w:style>
  <w:style w:type="paragraph" w:styleId="Heading7">
    <w:name w:val="heading 7"/>
    <w:basedOn w:val="Normal"/>
    <w:next w:val="Normal"/>
    <w:link w:val="Heading7Char"/>
    <w:rsid w:val="000E550A"/>
    <w:pPr>
      <w:numPr>
        <w:ilvl w:val="6"/>
        <w:numId w:val="21"/>
      </w:num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uiPriority w:val="9"/>
    <w:rsid w:val="000E550A"/>
    <w:pPr>
      <w:keepNext/>
      <w:keepLines/>
      <w:numPr>
        <w:ilvl w:val="7"/>
        <w:numId w:val="21"/>
      </w:numPr>
      <w:spacing w:before="200" w:after="0"/>
      <w:outlineLvl w:val="7"/>
    </w:pPr>
    <w:rPr>
      <w:rFonts w:ascii="Cambria" w:hAnsi="Cambria"/>
      <w:color w:val="404040"/>
      <w:sz w:val="20"/>
    </w:rPr>
  </w:style>
  <w:style w:type="paragraph" w:styleId="Heading9">
    <w:name w:val="heading 9"/>
    <w:basedOn w:val="Normal"/>
    <w:next w:val="Normal"/>
    <w:link w:val="Heading9Char"/>
    <w:uiPriority w:val="9"/>
    <w:rsid w:val="000E550A"/>
    <w:pPr>
      <w:keepNext/>
      <w:keepLines/>
      <w:numPr>
        <w:ilvl w:val="8"/>
        <w:numId w:val="2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1C07"/>
    <w:rPr>
      <w:rFonts w:ascii="Arial" w:eastAsia="Times New Roman" w:hAnsi="Arial" w:cs="Times New Roman"/>
      <w:b/>
      <w:color w:val="000000"/>
      <w:sz w:val="32"/>
      <w:szCs w:val="32"/>
    </w:rPr>
  </w:style>
  <w:style w:type="character" w:customStyle="1" w:styleId="Heading1Char">
    <w:name w:val="Heading 1 Char"/>
    <w:link w:val="Heading1"/>
    <w:rsid w:val="004437F2"/>
    <w:rPr>
      <w:rFonts w:ascii="Arial" w:eastAsia="Times New Roman" w:hAnsi="Arial" w:cs="Times New Roman"/>
      <w:b/>
      <w:sz w:val="40"/>
      <w:szCs w:val="40"/>
    </w:rPr>
  </w:style>
  <w:style w:type="character" w:customStyle="1" w:styleId="Heading3Char">
    <w:name w:val="Heading 3 Char"/>
    <w:link w:val="Heading3"/>
    <w:rsid w:val="00AD1C07"/>
    <w:rPr>
      <w:rFonts w:ascii="Arial" w:eastAsia="Times New Roman" w:hAnsi="Arial" w:cs="Arial"/>
      <w:color w:val="000000"/>
      <w:sz w:val="28"/>
      <w:szCs w:val="28"/>
    </w:rPr>
  </w:style>
  <w:style w:type="character" w:customStyle="1" w:styleId="Heading4Char">
    <w:name w:val="Heading 4 Char"/>
    <w:link w:val="Heading4"/>
    <w:rsid w:val="00045756"/>
    <w:rPr>
      <w:rFonts w:ascii="Arial" w:eastAsia="Times New Roman" w:hAnsi="Arial" w:cs="Arial"/>
      <w:b/>
    </w:rPr>
  </w:style>
  <w:style w:type="character" w:customStyle="1" w:styleId="Heading5Char">
    <w:name w:val="Heading 5 Char"/>
    <w:link w:val="Heading5"/>
    <w:rsid w:val="000E550A"/>
    <w:rPr>
      <w:rFonts w:ascii="Arial" w:eastAsia="Times New Roman" w:hAnsi="Arial" w:cs="Arial"/>
      <w:i/>
      <w:sz w:val="20"/>
      <w:szCs w:val="20"/>
    </w:rPr>
  </w:style>
  <w:style w:type="character" w:customStyle="1" w:styleId="Heading6Char">
    <w:name w:val="Heading 6 Char"/>
    <w:link w:val="Heading6"/>
    <w:rsid w:val="000E550A"/>
    <w:rPr>
      <w:rFonts w:ascii="Arial" w:eastAsia="Times New Roman" w:hAnsi="Arial" w:cs="Arial"/>
      <w:b/>
      <w:kern w:val="28"/>
      <w:sz w:val="36"/>
      <w:szCs w:val="36"/>
    </w:rPr>
  </w:style>
  <w:style w:type="character" w:customStyle="1" w:styleId="Heading7Char">
    <w:name w:val="Heading 7 Char"/>
    <w:link w:val="Heading7"/>
    <w:rsid w:val="000E550A"/>
    <w:rPr>
      <w:rFonts w:ascii="Arial" w:eastAsia="Times New Roman" w:hAnsi="Arial" w:cs="Arial"/>
      <w:b/>
      <w:sz w:val="28"/>
      <w:szCs w:val="28"/>
    </w:rPr>
  </w:style>
  <w:style w:type="character" w:customStyle="1" w:styleId="Heading8Char">
    <w:name w:val="Heading 8 Char"/>
    <w:link w:val="Heading8"/>
    <w:uiPriority w:val="9"/>
    <w:rsid w:val="000E550A"/>
    <w:rPr>
      <w:rFonts w:ascii="Cambria" w:eastAsia="Times New Roman" w:hAnsi="Cambria" w:cs="Times New Roman"/>
      <w:color w:val="404040"/>
      <w:sz w:val="20"/>
      <w:szCs w:val="20"/>
    </w:rPr>
  </w:style>
  <w:style w:type="character" w:customStyle="1" w:styleId="Heading9Char">
    <w:name w:val="Heading 9 Char"/>
    <w:link w:val="Heading9"/>
    <w:uiPriority w:val="9"/>
    <w:rsid w:val="000E550A"/>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0E550A"/>
    <w:pPr>
      <w:spacing w:after="0"/>
    </w:pPr>
    <w:rPr>
      <w:rFonts w:ascii="Tahoma" w:hAnsi="Tahoma" w:cs="Tahoma"/>
      <w:sz w:val="16"/>
      <w:szCs w:val="16"/>
    </w:rPr>
  </w:style>
  <w:style w:type="character" w:customStyle="1" w:styleId="BalloonTextChar">
    <w:name w:val="Balloon Text Char"/>
    <w:link w:val="BalloonText"/>
    <w:uiPriority w:val="99"/>
    <w:semiHidden/>
    <w:rsid w:val="000E550A"/>
    <w:rPr>
      <w:rFonts w:ascii="Tahoma" w:eastAsia="Times New Roman" w:hAnsi="Tahoma" w:cs="Tahoma"/>
      <w:sz w:val="16"/>
      <w:szCs w:val="16"/>
    </w:rPr>
  </w:style>
  <w:style w:type="character" w:styleId="Hyperlink">
    <w:name w:val="Hyperlink"/>
    <w:uiPriority w:val="99"/>
    <w:unhideWhenUsed/>
    <w:rsid w:val="005468D4"/>
    <w:rPr>
      <w:color w:val="0000FF"/>
      <w:u w:val="single"/>
    </w:rPr>
  </w:style>
  <w:style w:type="paragraph" w:customStyle="1" w:styleId="tblnoteindented">
    <w:name w:val="tbl note indented"/>
    <w:basedOn w:val="Normal"/>
    <w:rsid w:val="000E550A"/>
    <w:pPr>
      <w:spacing w:before="60" w:after="0"/>
      <w:ind w:left="2268"/>
    </w:pPr>
    <w:rPr>
      <w:rFonts w:ascii="Arial" w:hAnsi="Arial"/>
      <w:sz w:val="16"/>
      <w:szCs w:val="22"/>
    </w:rPr>
  </w:style>
  <w:style w:type="paragraph" w:styleId="TOC1">
    <w:name w:val="toc 1"/>
    <w:basedOn w:val="Normal"/>
    <w:next w:val="Normal"/>
    <w:autoRedefine/>
    <w:uiPriority w:val="39"/>
    <w:rsid w:val="003F3291"/>
    <w:pPr>
      <w:spacing w:after="100"/>
    </w:pPr>
    <w:rPr>
      <w:rFonts w:ascii="Arial" w:hAnsi="Arial"/>
      <w:b/>
    </w:rPr>
  </w:style>
  <w:style w:type="paragraph" w:styleId="TOC2">
    <w:name w:val="toc 2"/>
    <w:basedOn w:val="Normal"/>
    <w:next w:val="Normal"/>
    <w:autoRedefine/>
    <w:uiPriority w:val="39"/>
    <w:rsid w:val="005468D4"/>
    <w:pPr>
      <w:spacing w:after="100"/>
      <w:ind w:left="220"/>
    </w:pPr>
    <w:rPr>
      <w:rFonts w:ascii="Arial" w:hAnsi="Arial"/>
    </w:rPr>
  </w:style>
  <w:style w:type="paragraph" w:styleId="TOC3">
    <w:name w:val="toc 3"/>
    <w:basedOn w:val="Normal"/>
    <w:next w:val="Normal"/>
    <w:autoRedefine/>
    <w:uiPriority w:val="39"/>
    <w:rsid w:val="005468D4"/>
    <w:pPr>
      <w:spacing w:after="100"/>
      <w:ind w:left="440"/>
    </w:pPr>
    <w:rPr>
      <w:rFonts w:ascii="Arial" w:hAnsi="Arial"/>
    </w:rPr>
  </w:style>
  <w:style w:type="paragraph" w:customStyle="1" w:styleId="TOCHeading1">
    <w:name w:val="TOC Heading1"/>
    <w:basedOn w:val="Normal"/>
    <w:rsid w:val="00DF6B6B"/>
    <w:pPr>
      <w:pageBreakBefore/>
      <w:spacing w:before="240" w:line="276" w:lineRule="auto"/>
    </w:pPr>
    <w:rPr>
      <w:rFonts w:ascii="Arial" w:hAnsi="Arial" w:cs="Arial"/>
      <w:b/>
      <w:color w:val="365F91"/>
      <w:sz w:val="40"/>
      <w:szCs w:val="40"/>
    </w:rPr>
  </w:style>
  <w:style w:type="paragraph" w:customStyle="1" w:styleId="Coverpage1">
    <w:name w:val="Cover page 1"/>
    <w:basedOn w:val="Normal"/>
    <w:rsid w:val="008A0200"/>
    <w:pPr>
      <w:spacing w:before="720" w:after="0"/>
      <w:jc w:val="center"/>
    </w:pPr>
    <w:rPr>
      <w:rFonts w:ascii="Arial" w:hAnsi="Arial"/>
      <w:sz w:val="56"/>
      <w:szCs w:val="56"/>
    </w:rPr>
  </w:style>
  <w:style w:type="paragraph" w:customStyle="1" w:styleId="Coverpage2">
    <w:name w:val="Cover page 2"/>
    <w:basedOn w:val="Normal"/>
    <w:rsid w:val="006B7792"/>
    <w:pPr>
      <w:spacing w:before="360" w:after="0"/>
      <w:jc w:val="center"/>
    </w:pPr>
    <w:rPr>
      <w:rFonts w:ascii="Arial" w:hAnsi="Arial"/>
      <w:sz w:val="36"/>
      <w:szCs w:val="36"/>
    </w:rPr>
  </w:style>
  <w:style w:type="paragraph" w:customStyle="1" w:styleId="Documenttitle">
    <w:name w:val="Document title"/>
    <w:basedOn w:val="Normal"/>
    <w:rsid w:val="008A0200"/>
    <w:pPr>
      <w:pBdr>
        <w:top w:val="single" w:sz="4" w:space="1" w:color="auto"/>
        <w:bottom w:val="single" w:sz="4" w:space="1" w:color="auto"/>
      </w:pBdr>
      <w:spacing w:before="1800"/>
      <w:jc w:val="center"/>
    </w:pPr>
    <w:rPr>
      <w:rFonts w:ascii="Arial" w:hAnsi="Arial" w:cs="Arial"/>
      <w:b/>
      <w:color w:val="365F91"/>
      <w:sz w:val="144"/>
      <w:szCs w:val="144"/>
    </w:rPr>
  </w:style>
  <w:style w:type="paragraph" w:customStyle="1" w:styleId="Coverpage4">
    <w:name w:val="Cover page 4"/>
    <w:basedOn w:val="Normal"/>
    <w:rsid w:val="00447EEF"/>
    <w:pPr>
      <w:pBdr>
        <w:top w:val="single" w:sz="4" w:space="1" w:color="auto"/>
      </w:pBdr>
      <w:spacing w:before="600" w:after="0" w:line="276" w:lineRule="auto"/>
    </w:pPr>
    <w:rPr>
      <w:rFonts w:ascii="Arial" w:hAnsi="Arial" w:cs="Arial"/>
      <w:b/>
      <w:color w:val="365F91"/>
      <w:szCs w:val="22"/>
    </w:rPr>
  </w:style>
  <w:style w:type="character" w:styleId="CommentReference">
    <w:name w:val="annotation reference"/>
    <w:rsid w:val="004A65F9"/>
    <w:rPr>
      <w:sz w:val="16"/>
      <w:szCs w:val="16"/>
    </w:rPr>
  </w:style>
  <w:style w:type="paragraph" w:styleId="CommentText">
    <w:name w:val="annotation text"/>
    <w:basedOn w:val="Normal"/>
    <w:link w:val="CommentTextChar"/>
    <w:rsid w:val="004A65F9"/>
    <w:rPr>
      <w:sz w:val="20"/>
    </w:rPr>
  </w:style>
  <w:style w:type="character" w:customStyle="1" w:styleId="CommentTextChar">
    <w:name w:val="Comment Text Char"/>
    <w:link w:val="CommentText"/>
    <w:rsid w:val="004A65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5F9"/>
    <w:rPr>
      <w:b/>
      <w:bCs/>
    </w:rPr>
  </w:style>
  <w:style w:type="character" w:customStyle="1" w:styleId="CommentSubjectChar">
    <w:name w:val="Comment Subject Char"/>
    <w:link w:val="CommentSubject"/>
    <w:uiPriority w:val="99"/>
    <w:semiHidden/>
    <w:rsid w:val="004A65F9"/>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D12B1"/>
    <w:pPr>
      <w:pBdr>
        <w:top w:val="single" w:sz="4" w:space="1" w:color="000000"/>
      </w:pBdr>
      <w:tabs>
        <w:tab w:val="right" w:pos="9070"/>
      </w:tabs>
      <w:spacing w:after="0"/>
    </w:pPr>
    <w:rPr>
      <w:rFonts w:ascii="Arial" w:hAnsi="Arial"/>
      <w:noProof/>
      <w:color w:val="000000"/>
      <w:sz w:val="16"/>
      <w:szCs w:val="16"/>
      <w:lang w:val="en-US"/>
    </w:rPr>
  </w:style>
  <w:style w:type="character" w:customStyle="1" w:styleId="FooterChar">
    <w:name w:val="Footer Char"/>
    <w:link w:val="Footer"/>
    <w:uiPriority w:val="99"/>
    <w:rsid w:val="001D12B1"/>
    <w:rPr>
      <w:rFonts w:ascii="Arial" w:eastAsia="Times New Roman" w:hAnsi="Arial" w:cs="Times New Roman"/>
      <w:noProof/>
      <w:color w:val="000000"/>
      <w:sz w:val="16"/>
      <w:szCs w:val="16"/>
      <w:lang w:val="en-US"/>
    </w:rPr>
  </w:style>
  <w:style w:type="table" w:styleId="TableGrid">
    <w:name w:val="Table Grid"/>
    <w:basedOn w:val="TableNormal"/>
    <w:uiPriority w:val="59"/>
    <w:rsid w:val="000E55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12B1"/>
    <w:pPr>
      <w:pBdr>
        <w:bottom w:val="single" w:sz="4" w:space="1" w:color="auto"/>
      </w:pBdr>
      <w:tabs>
        <w:tab w:val="center" w:pos="4513"/>
        <w:tab w:val="right" w:pos="9026"/>
      </w:tabs>
      <w:spacing w:after="0"/>
      <w:jc w:val="right"/>
    </w:pPr>
    <w:rPr>
      <w:rFonts w:ascii="Arial" w:hAnsi="Arial" w:cs="Arial"/>
      <w:color w:val="000000"/>
      <w:sz w:val="16"/>
      <w:szCs w:val="16"/>
    </w:rPr>
  </w:style>
  <w:style w:type="character" w:customStyle="1" w:styleId="HeaderChar">
    <w:name w:val="Header Char"/>
    <w:link w:val="Header"/>
    <w:rsid w:val="001D12B1"/>
    <w:rPr>
      <w:rFonts w:ascii="Arial" w:eastAsia="Times New Roman" w:hAnsi="Arial" w:cs="Arial"/>
      <w:color w:val="000000"/>
      <w:sz w:val="16"/>
      <w:szCs w:val="16"/>
    </w:rPr>
  </w:style>
  <w:style w:type="paragraph" w:customStyle="1" w:styleId="Templatecommentaryheading">
    <w:name w:val="Template commentary heading"/>
    <w:basedOn w:val="Normal"/>
    <w:link w:val="TemplatecommentaryheadingChar"/>
    <w:qFormat/>
    <w:rsid w:val="00E00126"/>
    <w:pPr>
      <w:keepNext/>
      <w:pBdr>
        <w:top w:val="dashed" w:sz="4" w:space="1" w:color="365F91"/>
        <w:left w:val="dashed" w:sz="4" w:space="4" w:color="365F91"/>
        <w:bottom w:val="dashed" w:sz="4" w:space="1" w:color="365F91"/>
        <w:right w:val="dashed" w:sz="4" w:space="4" w:color="365F91"/>
      </w:pBdr>
      <w:spacing w:before="240" w:after="0"/>
      <w:outlineLvl w:val="0"/>
    </w:pPr>
    <w:rPr>
      <w:rFonts w:ascii="Arial" w:hAnsi="Arial" w:cs="Arial"/>
      <w:b/>
      <w:i/>
      <w:color w:val="365F91"/>
      <w:szCs w:val="24"/>
    </w:rPr>
  </w:style>
  <w:style w:type="character" w:customStyle="1" w:styleId="TemplatecommentaryheadingChar">
    <w:name w:val="Template commentary heading Char"/>
    <w:link w:val="Templatecommentaryheading"/>
    <w:rsid w:val="00E00126"/>
    <w:rPr>
      <w:rFonts w:ascii="Arial" w:eastAsia="Times New Roman" w:hAnsi="Arial" w:cs="Arial"/>
      <w:b/>
      <w:i/>
      <w:color w:val="365F91"/>
      <w:sz w:val="22"/>
      <w:szCs w:val="24"/>
      <w:lang w:eastAsia="en-US"/>
    </w:rPr>
  </w:style>
  <w:style w:type="paragraph" w:customStyle="1" w:styleId="tablebullet">
    <w:name w:val="table bullet"/>
    <w:basedOn w:val="Normal"/>
    <w:rsid w:val="000E550A"/>
    <w:pPr>
      <w:widowControl w:val="0"/>
      <w:numPr>
        <w:numId w:val="4"/>
      </w:numPr>
      <w:spacing w:before="60" w:after="0" w:line="240" w:lineRule="atLeast"/>
    </w:pPr>
    <w:rPr>
      <w:rFonts w:ascii="Arial" w:hAnsi="Arial" w:cs="Arial"/>
      <w:sz w:val="18"/>
      <w:szCs w:val="18"/>
    </w:rPr>
  </w:style>
  <w:style w:type="paragraph" w:customStyle="1" w:styleId="tblnote">
    <w:name w:val="tbl note"/>
    <w:rsid w:val="000E550A"/>
    <w:pPr>
      <w:spacing w:before="60"/>
    </w:pPr>
    <w:rPr>
      <w:rFonts w:ascii="Arial" w:eastAsia="Times New Roman" w:hAnsi="Arial"/>
      <w:sz w:val="16"/>
      <w:szCs w:val="22"/>
      <w:lang w:eastAsia="en-US"/>
    </w:rPr>
  </w:style>
  <w:style w:type="paragraph" w:styleId="Revision">
    <w:name w:val="Revision"/>
    <w:hidden/>
    <w:uiPriority w:val="99"/>
    <w:semiHidden/>
    <w:rsid w:val="000E550A"/>
    <w:rPr>
      <w:rFonts w:ascii="Times New Roman" w:eastAsia="Times New Roman" w:hAnsi="Times New Roman"/>
      <w:sz w:val="22"/>
      <w:lang w:eastAsia="en-US"/>
    </w:rPr>
  </w:style>
  <w:style w:type="paragraph" w:customStyle="1" w:styleId="Templatecommentarytext">
    <w:name w:val="Template commentary text"/>
    <w:basedOn w:val="Templatecommentaryheading"/>
    <w:qFormat/>
    <w:rsid w:val="00E00126"/>
    <w:pPr>
      <w:keepNext w:val="0"/>
      <w:spacing w:line="276" w:lineRule="auto"/>
      <w:outlineLvl w:val="9"/>
    </w:pPr>
    <w:rPr>
      <w:b w:val="0"/>
    </w:rPr>
  </w:style>
  <w:style w:type="paragraph" w:customStyle="1" w:styleId="Templatecommentarylist">
    <w:name w:val="Template commentary list"/>
    <w:basedOn w:val="Templatecommentarytext"/>
    <w:qFormat/>
    <w:rsid w:val="004E5E2D"/>
    <w:pPr>
      <w:numPr>
        <w:numId w:val="7"/>
      </w:numPr>
      <w:spacing w:before="120"/>
      <w:ind w:left="357" w:hanging="357"/>
    </w:pPr>
  </w:style>
  <w:style w:type="paragraph" w:styleId="BodyText">
    <w:name w:val="Body Text"/>
    <w:basedOn w:val="Normal"/>
    <w:link w:val="BodyTextChar"/>
    <w:qFormat/>
    <w:rsid w:val="00CF3399"/>
    <w:pPr>
      <w:spacing w:before="240" w:after="0" w:line="276" w:lineRule="auto"/>
    </w:pPr>
    <w:rPr>
      <w:rFonts w:ascii="Arial" w:hAnsi="Arial" w:cs="Arial"/>
      <w:color w:val="000000"/>
      <w:szCs w:val="22"/>
    </w:rPr>
  </w:style>
  <w:style w:type="character" w:customStyle="1" w:styleId="BodyTextChar">
    <w:name w:val="Body Text Char"/>
    <w:link w:val="BodyText"/>
    <w:rsid w:val="00CF3399"/>
    <w:rPr>
      <w:rFonts w:ascii="Arial" w:eastAsia="Times New Roman" w:hAnsi="Arial" w:cs="Arial"/>
      <w:color w:val="000000"/>
    </w:rPr>
  </w:style>
  <w:style w:type="character" w:styleId="PageNumber">
    <w:name w:val="page number"/>
    <w:rsid w:val="009E4C5F"/>
    <w:rPr>
      <w:b/>
      <w:sz w:val="20"/>
    </w:rPr>
  </w:style>
  <w:style w:type="paragraph" w:customStyle="1" w:styleId="Coverpage5">
    <w:name w:val="Cover page 5"/>
    <w:basedOn w:val="BodyText"/>
    <w:rsid w:val="001D12B1"/>
    <w:pPr>
      <w:pBdr>
        <w:bottom w:val="single" w:sz="4" w:space="1" w:color="auto"/>
      </w:pBdr>
      <w:spacing w:before="0"/>
    </w:pPr>
  </w:style>
  <w:style w:type="paragraph" w:customStyle="1" w:styleId="Warning">
    <w:name w:val="Warning"/>
    <w:basedOn w:val="Normal"/>
    <w:rsid w:val="001D12B1"/>
    <w:pPr>
      <w:pBdr>
        <w:top w:val="single" w:sz="4" w:space="10" w:color="auto"/>
        <w:left w:val="single" w:sz="4" w:space="10" w:color="auto"/>
        <w:bottom w:val="single" w:sz="4" w:space="10" w:color="auto"/>
        <w:right w:val="single" w:sz="4" w:space="10" w:color="auto"/>
      </w:pBdr>
      <w:shd w:val="clear" w:color="auto" w:fill="FFFFFF"/>
      <w:spacing w:before="240" w:line="276" w:lineRule="auto"/>
      <w:jc w:val="both"/>
    </w:pPr>
    <w:rPr>
      <w:rFonts w:ascii="Arial" w:hAnsi="Arial" w:cs="Arial"/>
      <w:sz w:val="28"/>
      <w:szCs w:val="28"/>
    </w:rPr>
  </w:style>
  <w:style w:type="paragraph" w:customStyle="1" w:styleId="Tablefiguretitle">
    <w:name w:val="Table/figure title"/>
    <w:basedOn w:val="BodyText"/>
    <w:rsid w:val="001D12B1"/>
    <w:pPr>
      <w:keepNext/>
    </w:pPr>
    <w:rPr>
      <w:b/>
    </w:rPr>
  </w:style>
  <w:style w:type="paragraph" w:styleId="ListParagraph">
    <w:name w:val="List Paragraph"/>
    <w:basedOn w:val="Normal"/>
    <w:uiPriority w:val="34"/>
    <w:rsid w:val="0052669F"/>
    <w:pPr>
      <w:ind w:left="720"/>
      <w:contextualSpacing/>
    </w:pPr>
  </w:style>
  <w:style w:type="paragraph" w:customStyle="1" w:styleId="Bodytextplain">
    <w:name w:val="Body text plain"/>
    <w:basedOn w:val="BodyText"/>
    <w:rsid w:val="00CA6EE5"/>
    <w:pPr>
      <w:spacing w:before="200" w:line="300" w:lineRule="atLeast"/>
      <w:ind w:left="2268"/>
    </w:pPr>
    <w:rPr>
      <w:rFonts w:ascii="Times New Roman" w:hAnsi="Times New Roman" w:cs="Times New Roman"/>
      <w:color w:val="auto"/>
    </w:rPr>
  </w:style>
  <w:style w:type="paragraph" w:customStyle="1" w:styleId="tbltext">
    <w:name w:val="tbl text"/>
    <w:basedOn w:val="Normal"/>
    <w:link w:val="tbltextChar"/>
    <w:rsid w:val="00DF5A08"/>
    <w:pPr>
      <w:widowControl w:val="0"/>
      <w:spacing w:before="120" w:after="0" w:line="240" w:lineRule="atLeast"/>
    </w:pPr>
    <w:rPr>
      <w:rFonts w:ascii="Arial" w:hAnsi="Arial" w:cs="Arial"/>
      <w:sz w:val="18"/>
      <w:szCs w:val="18"/>
    </w:rPr>
  </w:style>
  <w:style w:type="paragraph" w:customStyle="1" w:styleId="Bodytextbullet">
    <w:name w:val="Body text bullet"/>
    <w:basedOn w:val="BodyText"/>
    <w:rsid w:val="00392073"/>
    <w:pPr>
      <w:numPr>
        <w:numId w:val="25"/>
      </w:numPr>
      <w:ind w:left="357" w:hanging="357"/>
    </w:pPr>
  </w:style>
  <w:style w:type="paragraph" w:customStyle="1" w:styleId="Coverpage3">
    <w:name w:val="Cover page 3"/>
    <w:basedOn w:val="Coverpage2"/>
    <w:rsid w:val="00FA6A14"/>
    <w:pPr>
      <w:spacing w:before="720"/>
    </w:pPr>
  </w:style>
  <w:style w:type="paragraph" w:customStyle="1" w:styleId="tabledash">
    <w:name w:val="table dash"/>
    <w:basedOn w:val="tablebullet"/>
    <w:rsid w:val="00CC68CB"/>
    <w:pPr>
      <w:numPr>
        <w:numId w:val="29"/>
      </w:numPr>
    </w:pPr>
    <w:rPr>
      <w:lang w:eastAsia="en-AU"/>
    </w:rPr>
  </w:style>
  <w:style w:type="paragraph" w:customStyle="1" w:styleId="subparaa">
    <w:name w:val="sub para (a)"/>
    <w:basedOn w:val="BodyText"/>
    <w:rsid w:val="00CC68CB"/>
    <w:pPr>
      <w:tabs>
        <w:tab w:val="num" w:pos="2693"/>
      </w:tabs>
      <w:spacing w:before="100" w:line="300" w:lineRule="atLeast"/>
      <w:ind w:left="2693" w:hanging="425"/>
    </w:pPr>
    <w:rPr>
      <w:rFonts w:ascii="Times New Roman" w:hAnsi="Times New Roman" w:cs="Times New Roman"/>
      <w:color w:val="auto"/>
      <w:lang w:eastAsia="en-AU"/>
    </w:rPr>
  </w:style>
  <w:style w:type="paragraph" w:customStyle="1" w:styleId="subsubparai">
    <w:name w:val="sub sub para (i)"/>
    <w:basedOn w:val="subparaa"/>
    <w:rsid w:val="00CC68CB"/>
    <w:pPr>
      <w:tabs>
        <w:tab w:val="clear" w:pos="2693"/>
        <w:tab w:val="num" w:pos="3119"/>
      </w:tabs>
      <w:ind w:left="3119" w:hanging="426"/>
    </w:pPr>
  </w:style>
  <w:style w:type="paragraph" w:customStyle="1" w:styleId="sub3paraA">
    <w:name w:val="sub3para (A)"/>
    <w:basedOn w:val="subsubparai"/>
    <w:qFormat/>
    <w:rsid w:val="00CC68CB"/>
    <w:pPr>
      <w:tabs>
        <w:tab w:val="clear" w:pos="3119"/>
        <w:tab w:val="num" w:pos="3544"/>
      </w:tabs>
      <w:ind w:left="3544" w:hanging="425"/>
    </w:pPr>
  </w:style>
  <w:style w:type="paragraph" w:customStyle="1" w:styleId="sub4paraI">
    <w:name w:val="sub4para (I)"/>
    <w:basedOn w:val="subsubparai"/>
    <w:qFormat/>
    <w:rsid w:val="00CC68CB"/>
    <w:pPr>
      <w:tabs>
        <w:tab w:val="clear" w:pos="3119"/>
        <w:tab w:val="num" w:pos="3969"/>
      </w:tabs>
      <w:ind w:left="3969" w:hanging="425"/>
    </w:pPr>
  </w:style>
  <w:style w:type="character" w:customStyle="1" w:styleId="tbltextChar">
    <w:name w:val="tbl text Char"/>
    <w:link w:val="tbltext"/>
    <w:rsid w:val="006949E0"/>
    <w:rPr>
      <w:rFonts w:ascii="Arial" w:eastAsia="Times New Roman" w:hAnsi="Arial" w:cs="Arial"/>
      <w:sz w:val="18"/>
      <w:szCs w:val="18"/>
      <w:lang w:eastAsia="en-US"/>
    </w:rPr>
  </w:style>
  <w:style w:type="paragraph" w:styleId="NormalWeb">
    <w:name w:val="Normal (Web)"/>
    <w:basedOn w:val="Normal"/>
    <w:uiPriority w:val="99"/>
    <w:semiHidden/>
    <w:unhideWhenUsed/>
    <w:rsid w:val="00C76331"/>
    <w:pPr>
      <w:spacing w:before="100" w:beforeAutospacing="1" w:after="100" w:afterAutospacing="1"/>
    </w:pPr>
    <w:rPr>
      <w:rFonts w:eastAsiaTheme="minorEastAsia"/>
      <w:sz w:val="24"/>
      <w:szCs w:val="24"/>
      <w:lang w:eastAsia="en-AU"/>
    </w:rPr>
  </w:style>
  <w:style w:type="character" w:styleId="UnresolvedMention">
    <w:name w:val="Unresolved Mention"/>
    <w:basedOn w:val="DefaultParagraphFont"/>
    <w:uiPriority w:val="99"/>
    <w:semiHidden/>
    <w:unhideWhenUsed/>
    <w:rsid w:val="00B7136C"/>
    <w:rPr>
      <w:color w:val="808080"/>
      <w:shd w:val="clear" w:color="auto" w:fill="E6E6E6"/>
    </w:rPr>
  </w:style>
  <w:style w:type="paragraph" w:customStyle="1" w:styleId="Default">
    <w:name w:val="Default"/>
    <w:rsid w:val="00FD143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583">
      <w:bodyDiv w:val="1"/>
      <w:marLeft w:val="0"/>
      <w:marRight w:val="0"/>
      <w:marTop w:val="0"/>
      <w:marBottom w:val="0"/>
      <w:divBdr>
        <w:top w:val="none" w:sz="0" w:space="0" w:color="auto"/>
        <w:left w:val="none" w:sz="0" w:space="0" w:color="auto"/>
        <w:bottom w:val="none" w:sz="0" w:space="0" w:color="auto"/>
        <w:right w:val="none" w:sz="0" w:space="0" w:color="auto"/>
      </w:divBdr>
    </w:div>
    <w:div w:id="414937540">
      <w:bodyDiv w:val="1"/>
      <w:marLeft w:val="0"/>
      <w:marRight w:val="0"/>
      <w:marTop w:val="0"/>
      <w:marBottom w:val="0"/>
      <w:divBdr>
        <w:top w:val="none" w:sz="0" w:space="0" w:color="auto"/>
        <w:left w:val="none" w:sz="0" w:space="0" w:color="auto"/>
        <w:bottom w:val="none" w:sz="0" w:space="0" w:color="auto"/>
        <w:right w:val="none" w:sz="0" w:space="0" w:color="auto"/>
      </w:divBdr>
    </w:div>
    <w:div w:id="837815931">
      <w:bodyDiv w:val="1"/>
      <w:marLeft w:val="0"/>
      <w:marRight w:val="0"/>
      <w:marTop w:val="0"/>
      <w:marBottom w:val="0"/>
      <w:divBdr>
        <w:top w:val="none" w:sz="0" w:space="0" w:color="auto"/>
        <w:left w:val="none" w:sz="0" w:space="0" w:color="auto"/>
        <w:bottom w:val="none" w:sz="0" w:space="0" w:color="auto"/>
        <w:right w:val="none" w:sz="0" w:space="0" w:color="auto"/>
      </w:divBdr>
    </w:div>
    <w:div w:id="982660017">
      <w:bodyDiv w:val="1"/>
      <w:marLeft w:val="0"/>
      <w:marRight w:val="0"/>
      <w:marTop w:val="0"/>
      <w:marBottom w:val="0"/>
      <w:divBdr>
        <w:top w:val="none" w:sz="0" w:space="0" w:color="auto"/>
        <w:left w:val="none" w:sz="0" w:space="0" w:color="auto"/>
        <w:bottom w:val="none" w:sz="0" w:space="0" w:color="auto"/>
        <w:right w:val="none" w:sz="0" w:space="0" w:color="auto"/>
      </w:divBdr>
    </w:div>
    <w:div w:id="19840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sic.gov.au/regulatory-resources/find-a-document/regulatory-guides/rg-261-crowd-sourced-funding-guide-for-public-companies/" TargetMode="External"/><Relationship Id="rId3" Type="http://schemas.openxmlformats.org/officeDocument/2006/relationships/customXml" Target="../customXml/item3.xml"/><Relationship Id="rId21" Type="http://schemas.openxmlformats.org/officeDocument/2006/relationships/hyperlink" Target="http://www.asic.gov.au/regulatory-resources/find-a-document/regulatory-guides/rg-261-crowd-sourced-funding-guide-for-public-companies/" TargetMode="External"/><Relationship Id="rId34" Type="http://schemas.openxmlformats.org/officeDocument/2006/relationships/hyperlink" Target="http://www.asic.gov.au/regulatory-resources/find-a-document/regulatory-guides/rg-261-crowd-sourced-funding-guide-for-public-companies/" TargetMode="External"/><Relationship Id="rId7" Type="http://schemas.openxmlformats.org/officeDocument/2006/relationships/settings" Target="settings.xml"/><Relationship Id="rId12" Type="http://schemas.openxmlformats.org/officeDocument/2006/relationships/hyperlink" Target="http://www.asic.gov.au/regulatory-resources/find-a-document/regulatory-guides/rg-261-crowd-sourced-funding-guide-for-public-companies/" TargetMode="External"/><Relationship Id="rId17" Type="http://schemas.openxmlformats.org/officeDocument/2006/relationships/header" Target="header3.xml"/><Relationship Id="rId25" Type="http://schemas.openxmlformats.org/officeDocument/2006/relationships/hyperlink" Target="http://www.asic.gov.au/regulatory-resources/find-a-document/regulatory-guides/rg-261-crowd-sourced-funding-guide-for-public-companies/" TargetMode="External"/><Relationship Id="rId33" Type="http://schemas.openxmlformats.org/officeDocument/2006/relationships/hyperlink" Target="http://www.asic.gov.au/regulatory-resources/find-a-document/regulatory-guides/rg-261-crowd-sourced-funding-guide-for-public-compan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sic.gov.au/regulatory-resources/find-a-document/regulatory-guides/rg-261-crowd-sourced-funding-guide-for-public-companies/" TargetMode="External"/><Relationship Id="rId29" Type="http://schemas.openxmlformats.org/officeDocument/2006/relationships/hyperlink" Target="http://www.asic.gov.au/regulatory-resources/find-a-document/regulatory-guides/rg-261-crowd-sourced-funding-guide-for-public-compa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ic.gov.au/regulatory-resources/find-a-document/regulatory-guides/rg-261-crowd-sourced-funding-guide-for-public-companies/" TargetMode="External"/><Relationship Id="rId24" Type="http://schemas.openxmlformats.org/officeDocument/2006/relationships/hyperlink" Target="http://www.asic.gov.au/regulatory-resources/find-a-document/regulatory-guides/rg-261-crowd-sourced-funding-guide-for-public-companies/" TargetMode="External"/><Relationship Id="rId32" Type="http://schemas.openxmlformats.org/officeDocument/2006/relationships/hyperlink" Target="http://www.asic.gov.au/regulatory-resources/find-a-document/regulatory-guides/rg-261-crowd-sourced-funding-guide-for-public-compani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asic.gov.au/regulatory-resources/find-a-document/regulatory-guides/rg-261-crowd-sourced-funding-guide-for-public-companies/" TargetMode="External"/><Relationship Id="rId28" Type="http://schemas.openxmlformats.org/officeDocument/2006/relationships/hyperlink" Target="http://www.asic.gov.au/regulatory-resources/find-a-document/regulatory-guides/rg-261-crowd-sourced-funding-guide-for-public-compan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sic.gov.au/regulatory-resources/find-a-document/regulatory-guides/rg-261-crowd-sourced-funding-guide-for-public-companies/" TargetMode="External"/><Relationship Id="rId31" Type="http://schemas.openxmlformats.org/officeDocument/2006/relationships/hyperlink" Target="http://www.asic.gov.au/regulatory-resources/find-a-document/regulatory-guides/rg-261-crowd-sourced-funding-guide-for-public-compan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sic.gov.au/regulatory-resources/find-a-document/regulatory-guides/rg-261-crowd-sourced-funding-guide-for-public-companies/" TargetMode="External"/><Relationship Id="rId27" Type="http://schemas.openxmlformats.org/officeDocument/2006/relationships/hyperlink" Target="http://www.asic.gov.au/regulatory-resources/find-a-document/regulatory-guides/rg-261-crowd-sourced-funding-guide-for-public-companies/" TargetMode="External"/><Relationship Id="rId30" Type="http://schemas.openxmlformats.org/officeDocument/2006/relationships/hyperlink" Target="http://www.asic.gov.au/regulatory-resources/find-a-document/regulatory-guides/rg-261-crowd-sourced-funding-guide-for-public-companies/"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5CB4B61EE27A374D8E967BE64820D53B" ma:contentTypeVersion="26" ma:contentTypeDescription="" ma:contentTypeScope="" ma:versionID="bdcd7877c34476dfbfc1058f5991ae09">
  <xsd:schema xmlns:xsd="http://www.w3.org/2001/XMLSchema" xmlns:xs="http://www.w3.org/2001/XMLSchema" xmlns:p="http://schemas.microsoft.com/office/2006/metadata/properties" xmlns:ns2="da7a9ac0-bc47-4684-84e6-3a8e9ac80c12" xmlns:ns3="a21c7a24-fb33-462c-8728-ede2c6d24d59" xmlns:ns5="http://schemas.microsoft.com/sharepoint/v4" xmlns:ns6="17f478ab-373e-4295-9ff0-9b833ad01319" targetNamespace="http://schemas.microsoft.com/office/2006/metadata/properties" ma:root="true" ma:fieldsID="1dffb697a1baf73ff3f5d83c725ad921" ns2:_="" ns3:_="" ns5:_="" ns6:_="">
    <xsd:import namespace="da7a9ac0-bc47-4684-84e6-3a8e9ac80c12"/>
    <xsd:import namespace="a21c7a24-fb33-462c-8728-ede2c6d24d5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R20180000309370</RecordNumber>
    <SenateOrder12 xmlns="da7a9ac0-bc47-4684-84e6-3a8e9ac80c12">false</SenateOrder12>
    <SignificantReason xmlns="da7a9ac0-bc47-4684-84e6-3a8e9ac80c12" xsi:nil="true"/>
    <Reviewers xmlns="17f478ab-373e-4295-9ff0-9b833ad01319">
      <UserInfo>
        <DisplayName/>
        <AccountId xsi:nil="true"/>
        <AccountType/>
      </UserInfo>
    </Reviewers>
    <Approvers xmlns="17f478ab-373e-4295-9ff0-9b833ad01319">
      <UserInfo>
        <DisplayName/>
        <AccountId xsi:nil="true"/>
        <AccountType/>
      </UserInfo>
    </Approvers>
    <NotesLinks xmlns="da7a9ac0-bc47-4684-84e6-3a8e9ac80c12" xsi:nil="true"/>
    <TaxCatchAll xmlns="a21c7a24-fb33-462c-8728-ede2c6d24d59">
      <Value>6</Value>
    </TaxCatchAll>
    <SignificantFlag xmlns="da7a9ac0-bc47-4684-84e6-3a8e9ac80c12">false</SignificantFlag>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In Confidence or Sensitive</TermName>
          <TermId xmlns="http://schemas.microsoft.com/office/infopath/2007/PartnerControls">b209eba4-50cc-4782-a384-0b057e0fa683</TermId>
        </TermInfo>
      </Terms>
    </d41bac507fff4e50bd5ed087fe9627dc>
    <IconOverlay xmlns="http://schemas.microsoft.com/sharepoint/v4" xsi:nil="true"/>
    <ObjectiveID xmlns="da7a9ac0-bc47-4684-84e6-3a8e9ac80c12" xsi:nil="true"/>
    <ded95d7ab059406991d558011d18c177 xmlns="da7a9ac0-bc47-4684-84e6-3a8e9ac80c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BF49-7D5F-4AEA-8B54-EA28A590954B}">
  <ds:schemaRefs>
    <ds:schemaRef ds:uri="http://schemas.microsoft.com/sharepoint/v3/contenttype/forms"/>
  </ds:schemaRefs>
</ds:datastoreItem>
</file>

<file path=customXml/itemProps2.xml><?xml version="1.0" encoding="utf-8"?>
<ds:datastoreItem xmlns:ds="http://schemas.openxmlformats.org/officeDocument/2006/customXml" ds:itemID="{1B81EF3D-B42D-4291-AB33-E338CA47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C1E28-2792-47DB-A5C7-7EEA7539A607}">
  <ds:schemaRefs>
    <ds:schemaRef ds:uri="http://schemas.microsoft.com/office/infopath/2007/PartnerControls"/>
    <ds:schemaRef ds:uri="http://schemas.microsoft.com/office/2006/documentManagement/types"/>
    <ds:schemaRef ds:uri="17f478ab-373e-4295-9ff0-9b833ad01319"/>
    <ds:schemaRef ds:uri="http://purl.org/dc/terms/"/>
    <ds:schemaRef ds:uri="http://schemas.microsoft.com/office/2006/metadata/properties"/>
    <ds:schemaRef ds:uri="http://schemas.microsoft.com/sharepoint/v4"/>
    <ds:schemaRef ds:uri="http://purl.org/dc/elements/1.1/"/>
    <ds:schemaRef ds:uri="da7a9ac0-bc47-4684-84e6-3a8e9ac80c12"/>
    <ds:schemaRef ds:uri="http://schemas.openxmlformats.org/package/2006/metadata/core-properties"/>
    <ds:schemaRef ds:uri="a21c7a24-fb33-462c-8728-ede2c6d24d59"/>
    <ds:schemaRef ds:uri="http://www.w3.org/XML/1998/namespace"/>
    <ds:schemaRef ds:uri="http://purl.org/dc/dcmitype/"/>
  </ds:schemaRefs>
</ds:datastoreItem>
</file>

<file path=customXml/itemProps4.xml><?xml version="1.0" encoding="utf-8"?>
<ds:datastoreItem xmlns:ds="http://schemas.openxmlformats.org/officeDocument/2006/customXml" ds:itemID="{92DA2FC5-12E3-4C71-A2E5-6D152875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69ED6D9D.dotm</Template>
  <TotalTime>5</TotalTime>
  <Pages>21</Pages>
  <Words>6349</Words>
  <Characters>33178</Characters>
  <Application>Microsoft Office Word</Application>
  <DocSecurity>0</DocSecurity>
  <Lines>686</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39212</CharactersWithSpaces>
  <SharedDoc>false</SharedDoc>
  <HLinks>
    <vt:vector size="108" baseType="variant">
      <vt:variant>
        <vt:i4>1638455</vt:i4>
      </vt:variant>
      <vt:variant>
        <vt:i4>104</vt:i4>
      </vt:variant>
      <vt:variant>
        <vt:i4>0</vt:i4>
      </vt:variant>
      <vt:variant>
        <vt:i4>5</vt:i4>
      </vt:variant>
      <vt:variant>
        <vt:lpwstr/>
      </vt:variant>
      <vt:variant>
        <vt:lpwstr>_Toc485643238</vt:lpwstr>
      </vt:variant>
      <vt:variant>
        <vt:i4>1638455</vt:i4>
      </vt:variant>
      <vt:variant>
        <vt:i4>98</vt:i4>
      </vt:variant>
      <vt:variant>
        <vt:i4>0</vt:i4>
      </vt:variant>
      <vt:variant>
        <vt:i4>5</vt:i4>
      </vt:variant>
      <vt:variant>
        <vt:lpwstr/>
      </vt:variant>
      <vt:variant>
        <vt:lpwstr>_Toc485643237</vt:lpwstr>
      </vt:variant>
      <vt:variant>
        <vt:i4>1638455</vt:i4>
      </vt:variant>
      <vt:variant>
        <vt:i4>92</vt:i4>
      </vt:variant>
      <vt:variant>
        <vt:i4>0</vt:i4>
      </vt:variant>
      <vt:variant>
        <vt:i4>5</vt:i4>
      </vt:variant>
      <vt:variant>
        <vt:lpwstr/>
      </vt:variant>
      <vt:variant>
        <vt:lpwstr>_Toc485643236</vt:lpwstr>
      </vt:variant>
      <vt:variant>
        <vt:i4>1638455</vt:i4>
      </vt:variant>
      <vt:variant>
        <vt:i4>86</vt:i4>
      </vt:variant>
      <vt:variant>
        <vt:i4>0</vt:i4>
      </vt:variant>
      <vt:variant>
        <vt:i4>5</vt:i4>
      </vt:variant>
      <vt:variant>
        <vt:lpwstr/>
      </vt:variant>
      <vt:variant>
        <vt:lpwstr>_Toc485643235</vt:lpwstr>
      </vt:variant>
      <vt:variant>
        <vt:i4>1638455</vt:i4>
      </vt:variant>
      <vt:variant>
        <vt:i4>80</vt:i4>
      </vt:variant>
      <vt:variant>
        <vt:i4>0</vt:i4>
      </vt:variant>
      <vt:variant>
        <vt:i4>5</vt:i4>
      </vt:variant>
      <vt:variant>
        <vt:lpwstr/>
      </vt:variant>
      <vt:variant>
        <vt:lpwstr>_Toc485643234</vt:lpwstr>
      </vt:variant>
      <vt:variant>
        <vt:i4>1638455</vt:i4>
      </vt:variant>
      <vt:variant>
        <vt:i4>74</vt:i4>
      </vt:variant>
      <vt:variant>
        <vt:i4>0</vt:i4>
      </vt:variant>
      <vt:variant>
        <vt:i4>5</vt:i4>
      </vt:variant>
      <vt:variant>
        <vt:lpwstr/>
      </vt:variant>
      <vt:variant>
        <vt:lpwstr>_Toc485643233</vt:lpwstr>
      </vt:variant>
      <vt:variant>
        <vt:i4>1638455</vt:i4>
      </vt:variant>
      <vt:variant>
        <vt:i4>68</vt:i4>
      </vt:variant>
      <vt:variant>
        <vt:i4>0</vt:i4>
      </vt:variant>
      <vt:variant>
        <vt:i4>5</vt:i4>
      </vt:variant>
      <vt:variant>
        <vt:lpwstr/>
      </vt:variant>
      <vt:variant>
        <vt:lpwstr>_Toc485643232</vt:lpwstr>
      </vt:variant>
      <vt:variant>
        <vt:i4>1638455</vt:i4>
      </vt:variant>
      <vt:variant>
        <vt:i4>62</vt:i4>
      </vt:variant>
      <vt:variant>
        <vt:i4>0</vt:i4>
      </vt:variant>
      <vt:variant>
        <vt:i4>5</vt:i4>
      </vt:variant>
      <vt:variant>
        <vt:lpwstr/>
      </vt:variant>
      <vt:variant>
        <vt:lpwstr>_Toc485643231</vt:lpwstr>
      </vt:variant>
      <vt:variant>
        <vt:i4>1638455</vt:i4>
      </vt:variant>
      <vt:variant>
        <vt:i4>56</vt:i4>
      </vt:variant>
      <vt:variant>
        <vt:i4>0</vt:i4>
      </vt:variant>
      <vt:variant>
        <vt:i4>5</vt:i4>
      </vt:variant>
      <vt:variant>
        <vt:lpwstr/>
      </vt:variant>
      <vt:variant>
        <vt:lpwstr>_Toc485643230</vt:lpwstr>
      </vt:variant>
      <vt:variant>
        <vt:i4>1572919</vt:i4>
      </vt:variant>
      <vt:variant>
        <vt:i4>50</vt:i4>
      </vt:variant>
      <vt:variant>
        <vt:i4>0</vt:i4>
      </vt:variant>
      <vt:variant>
        <vt:i4>5</vt:i4>
      </vt:variant>
      <vt:variant>
        <vt:lpwstr/>
      </vt:variant>
      <vt:variant>
        <vt:lpwstr>_Toc485643229</vt:lpwstr>
      </vt:variant>
      <vt:variant>
        <vt:i4>1572919</vt:i4>
      </vt:variant>
      <vt:variant>
        <vt:i4>44</vt:i4>
      </vt:variant>
      <vt:variant>
        <vt:i4>0</vt:i4>
      </vt:variant>
      <vt:variant>
        <vt:i4>5</vt:i4>
      </vt:variant>
      <vt:variant>
        <vt:lpwstr/>
      </vt:variant>
      <vt:variant>
        <vt:lpwstr>_Toc485643228</vt:lpwstr>
      </vt:variant>
      <vt:variant>
        <vt:i4>1572919</vt:i4>
      </vt:variant>
      <vt:variant>
        <vt:i4>38</vt:i4>
      </vt:variant>
      <vt:variant>
        <vt:i4>0</vt:i4>
      </vt:variant>
      <vt:variant>
        <vt:i4>5</vt:i4>
      </vt:variant>
      <vt:variant>
        <vt:lpwstr/>
      </vt:variant>
      <vt:variant>
        <vt:lpwstr>_Toc485643227</vt:lpwstr>
      </vt:variant>
      <vt:variant>
        <vt:i4>1572919</vt:i4>
      </vt:variant>
      <vt:variant>
        <vt:i4>32</vt:i4>
      </vt:variant>
      <vt:variant>
        <vt:i4>0</vt:i4>
      </vt:variant>
      <vt:variant>
        <vt:i4>5</vt:i4>
      </vt:variant>
      <vt:variant>
        <vt:lpwstr/>
      </vt:variant>
      <vt:variant>
        <vt:lpwstr>_Toc485643226</vt:lpwstr>
      </vt:variant>
      <vt:variant>
        <vt:i4>1572919</vt:i4>
      </vt:variant>
      <vt:variant>
        <vt:i4>26</vt:i4>
      </vt:variant>
      <vt:variant>
        <vt:i4>0</vt:i4>
      </vt:variant>
      <vt:variant>
        <vt:i4>5</vt:i4>
      </vt:variant>
      <vt:variant>
        <vt:lpwstr/>
      </vt:variant>
      <vt:variant>
        <vt:lpwstr>_Toc485643225</vt:lpwstr>
      </vt:variant>
      <vt:variant>
        <vt:i4>1572919</vt:i4>
      </vt:variant>
      <vt:variant>
        <vt:i4>20</vt:i4>
      </vt:variant>
      <vt:variant>
        <vt:i4>0</vt:i4>
      </vt:variant>
      <vt:variant>
        <vt:i4>5</vt:i4>
      </vt:variant>
      <vt:variant>
        <vt:lpwstr/>
      </vt:variant>
      <vt:variant>
        <vt:lpwstr>_Toc485643224</vt:lpwstr>
      </vt:variant>
      <vt:variant>
        <vt:i4>1572919</vt:i4>
      </vt:variant>
      <vt:variant>
        <vt:i4>14</vt:i4>
      </vt:variant>
      <vt:variant>
        <vt:i4>0</vt:i4>
      </vt:variant>
      <vt:variant>
        <vt:i4>5</vt:i4>
      </vt:variant>
      <vt:variant>
        <vt:lpwstr/>
      </vt:variant>
      <vt:variant>
        <vt:lpwstr>_Toc485643223</vt:lpwstr>
      </vt:variant>
      <vt:variant>
        <vt:i4>1572919</vt:i4>
      </vt:variant>
      <vt:variant>
        <vt:i4>8</vt:i4>
      </vt:variant>
      <vt:variant>
        <vt:i4>0</vt:i4>
      </vt:variant>
      <vt:variant>
        <vt:i4>5</vt:i4>
      </vt:variant>
      <vt:variant>
        <vt:lpwstr/>
      </vt:variant>
      <vt:variant>
        <vt:lpwstr>_Toc485643222</vt:lpwstr>
      </vt:variant>
      <vt:variant>
        <vt:i4>1572919</vt:i4>
      </vt:variant>
      <vt:variant>
        <vt:i4>2</vt:i4>
      </vt:variant>
      <vt:variant>
        <vt:i4>0</vt:i4>
      </vt:variant>
      <vt:variant>
        <vt:i4>5</vt:i4>
      </vt:variant>
      <vt:variant>
        <vt:lpwstr/>
      </vt:variant>
      <vt:variant>
        <vt:lpwstr>_Toc485643221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Sarah Davin</cp:lastModifiedBy>
  <cp:revision>3</cp:revision>
  <cp:lastPrinted>2018-03-23T04:42:00Z</cp:lastPrinted>
  <dcterms:created xsi:type="dcterms:W3CDTF">2018-10-14T23:59:00Z</dcterms:created>
  <dcterms:modified xsi:type="dcterms:W3CDTF">2018-10-15T00:05:00Z</dcterms:modified>
  <cp:category/>
</cp:coreProperties>
</file>