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140C" w14:textId="2B771123" w:rsidR="00280C94" w:rsidRDefault="00C904C1" w:rsidP="00C904C1">
      <w:pPr>
        <w:pStyle w:val="Bodytextplain"/>
        <w:spacing w:before="840" w:after="1600"/>
        <w:ind w:left="0"/>
      </w:pPr>
      <w:r>
        <w:rPr>
          <w:noProof/>
        </w:rPr>
        <w:drawing>
          <wp:inline distT="0" distB="0" distL="0" distR="0" wp14:anchorId="1B059081" wp14:editId="373E9D2E">
            <wp:extent cx="5759450" cy="815453"/>
            <wp:effectExtent l="0" t="0" r="0" b="381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15453"/>
                    </a:xfrm>
                    <a:prstGeom prst="rect">
                      <a:avLst/>
                    </a:prstGeom>
                    <a:noFill/>
                    <a:ln>
                      <a:noFill/>
                    </a:ln>
                  </pic:spPr>
                </pic:pic>
              </a:graphicData>
            </a:graphic>
          </wp:inline>
        </w:drawing>
      </w:r>
    </w:p>
    <w:p w14:paraId="06E6140D" w14:textId="77777777" w:rsidR="00280C94" w:rsidRDefault="00280C94" w:rsidP="00EA558B">
      <w:pPr>
        <w:pStyle w:val="Bodytextplain"/>
      </w:pPr>
      <w:bookmarkStart w:id="0" w:name="_Ref152644852"/>
      <w:bookmarkEnd w:id="0"/>
    </w:p>
    <w:p w14:paraId="06E6140E" w14:textId="77777777" w:rsidR="003C51CF" w:rsidRDefault="003C51CF" w:rsidP="003C51CF">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4A21FA">
        <w:rPr>
          <w:rFonts w:ascii="Arial" w:hAnsi="Arial" w:cs="Arial"/>
          <w:b/>
          <w:sz w:val="48"/>
          <w:szCs w:val="48"/>
        </w:rPr>
        <w:t>216</w:t>
      </w:r>
      <w:r>
        <w:rPr>
          <w:rFonts w:ascii="Arial" w:hAnsi="Arial" w:cs="Arial"/>
          <w:b/>
          <w:sz w:val="48"/>
          <w:szCs w:val="48"/>
        </w:rPr>
        <w:fldChar w:fldCharType="end"/>
      </w:r>
      <w:r>
        <w:rPr>
          <w:rFonts w:ascii="Arial" w:hAnsi="Arial" w:cs="Arial"/>
          <w:b/>
          <w:sz w:val="48"/>
          <w:szCs w:val="48"/>
        </w:rPr>
        <w:t>]</w:t>
      </w:r>
    </w:p>
    <w:p w14:paraId="06E6140F" w14:textId="6DBDEEF3" w:rsidR="003C51CF" w:rsidRDefault="004A21FA" w:rsidP="003C51CF">
      <w:pPr>
        <w:ind w:left="2268"/>
        <w:rPr>
          <w:rFonts w:ascii="Arial" w:hAnsi="Arial" w:cs="Arial"/>
          <w:b/>
          <w:sz w:val="48"/>
          <w:szCs w:val="48"/>
        </w:rPr>
      </w:pPr>
      <w:r>
        <w:rPr>
          <w:rFonts w:ascii="Arial" w:hAnsi="Arial" w:cs="Arial"/>
          <w:b/>
          <w:sz w:val="48"/>
          <w:szCs w:val="48"/>
        </w:rPr>
        <w:t>Pro Forma</w:t>
      </w:r>
      <w:bookmarkStart w:id="1" w:name="_GoBack"/>
      <w:bookmarkEnd w:id="1"/>
      <w:r w:rsidR="003C51CF">
        <w:rPr>
          <w:rFonts w:ascii="Arial" w:hAnsi="Arial" w:cs="Arial"/>
          <w:b/>
          <w:sz w:val="48"/>
          <w:szCs w:val="48"/>
        </w:rPr>
        <w:t xml:space="preserve"> </w:t>
      </w:r>
      <w:r w:rsidR="003C51CF">
        <w:rPr>
          <w:rFonts w:ascii="Arial" w:hAnsi="Arial" w:cs="Arial"/>
          <w:b/>
          <w:sz w:val="48"/>
          <w:szCs w:val="48"/>
        </w:rPr>
        <w:fldChar w:fldCharType="begin"/>
      </w:r>
      <w:r w:rsidR="003C51CF">
        <w:rPr>
          <w:rFonts w:ascii="Arial" w:hAnsi="Arial" w:cs="Arial"/>
          <w:b/>
          <w:sz w:val="48"/>
          <w:szCs w:val="48"/>
        </w:rPr>
        <w:instrText xml:space="preserve"> DOCPROPERTY  "Document num"  \* MERGEFORMAT </w:instrText>
      </w:r>
      <w:r w:rsidR="003C51CF">
        <w:rPr>
          <w:rFonts w:ascii="Arial" w:hAnsi="Arial" w:cs="Arial"/>
          <w:b/>
          <w:sz w:val="48"/>
          <w:szCs w:val="48"/>
        </w:rPr>
        <w:fldChar w:fldCharType="separate"/>
      </w:r>
      <w:r>
        <w:rPr>
          <w:rFonts w:ascii="Arial" w:hAnsi="Arial" w:cs="Arial"/>
          <w:b/>
          <w:sz w:val="48"/>
          <w:szCs w:val="48"/>
        </w:rPr>
        <w:t>216</w:t>
      </w:r>
      <w:r w:rsidR="003C51CF">
        <w:rPr>
          <w:rFonts w:ascii="Arial" w:hAnsi="Arial" w:cs="Arial"/>
          <w:b/>
          <w:sz w:val="48"/>
          <w:szCs w:val="48"/>
        </w:rPr>
        <w:fldChar w:fldCharType="end"/>
      </w:r>
    </w:p>
    <w:p w14:paraId="06E61410"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4A21FA">
        <w:rPr>
          <w:rFonts w:ascii="Arial" w:hAnsi="Arial" w:cs="Arial"/>
          <w:b/>
          <w:sz w:val="48"/>
          <w:szCs w:val="48"/>
        </w:rPr>
        <w:t>Authorised audit company registration conditions</w:t>
      </w:r>
      <w:r>
        <w:rPr>
          <w:rFonts w:ascii="Arial" w:hAnsi="Arial" w:cs="Arial"/>
          <w:b/>
          <w:sz w:val="48"/>
          <w:szCs w:val="48"/>
        </w:rPr>
        <w:fldChar w:fldCharType="end"/>
      </w:r>
    </w:p>
    <w:p w14:paraId="06E61411" w14:textId="77777777" w:rsidR="000556BB" w:rsidRDefault="000556BB" w:rsidP="00EA558B">
      <w:pPr>
        <w:pStyle w:val="Bodytextplain"/>
      </w:pPr>
    </w:p>
    <w:p w14:paraId="06E61413" w14:textId="27E3989D" w:rsidR="00255E99" w:rsidRPr="00211EFE" w:rsidRDefault="00A85570" w:rsidP="00211EFE">
      <w:pPr>
        <w:pStyle w:val="Fronttext"/>
        <w:spacing w:before="120"/>
        <w:rPr>
          <w:i/>
          <w:sz w:val="22"/>
          <w:szCs w:val="22"/>
        </w:rPr>
      </w:pPr>
      <w:r w:rsidRPr="00211EFE">
        <w:rPr>
          <w:i/>
          <w:sz w:val="22"/>
          <w:szCs w:val="22"/>
        </w:rPr>
        <w:t>I</w:t>
      </w:r>
      <w:r w:rsidR="00255E99" w:rsidRPr="00211EFE">
        <w:rPr>
          <w:i/>
          <w:sz w:val="22"/>
          <w:szCs w:val="22"/>
        </w:rPr>
        <w:t>ssued:</w:t>
      </w:r>
      <w:r w:rsidR="005C3926" w:rsidRPr="00211EFE">
        <w:rPr>
          <w:i/>
          <w:sz w:val="22"/>
          <w:szCs w:val="22"/>
        </w:rPr>
        <w:t xml:space="preserve"> </w:t>
      </w:r>
      <w:r w:rsidR="007A653D">
        <w:rPr>
          <w:i/>
          <w:sz w:val="22"/>
          <w:szCs w:val="22"/>
        </w:rPr>
        <w:t xml:space="preserve">30 </w:t>
      </w:r>
      <w:r w:rsidR="00821248" w:rsidRPr="007A653D">
        <w:rPr>
          <w:i/>
          <w:sz w:val="22"/>
          <w:szCs w:val="22"/>
        </w:rPr>
        <w:fldChar w:fldCharType="begin"/>
      </w:r>
      <w:r w:rsidR="00821248" w:rsidRPr="007A653D">
        <w:rPr>
          <w:i/>
          <w:sz w:val="22"/>
          <w:szCs w:val="22"/>
        </w:rPr>
        <w:instrText xml:space="preserve"> DOCPROPERTY  "Issue date"  \* MERGEFORMAT </w:instrText>
      </w:r>
      <w:r w:rsidR="00821248" w:rsidRPr="007A653D">
        <w:rPr>
          <w:i/>
          <w:sz w:val="22"/>
          <w:szCs w:val="22"/>
        </w:rPr>
        <w:fldChar w:fldCharType="separate"/>
      </w:r>
      <w:r w:rsidR="004A21FA">
        <w:rPr>
          <w:i/>
          <w:sz w:val="22"/>
          <w:szCs w:val="22"/>
        </w:rPr>
        <w:t>June 2016</w:t>
      </w:r>
      <w:r w:rsidR="00821248" w:rsidRPr="007A653D">
        <w:rPr>
          <w:i/>
          <w:sz w:val="22"/>
          <w:szCs w:val="22"/>
        </w:rPr>
        <w:fldChar w:fldCharType="end"/>
      </w:r>
    </w:p>
    <w:p w14:paraId="5CFFFF9A" w14:textId="6D77FBFC" w:rsidR="00A85570" w:rsidRPr="00EA558B" w:rsidRDefault="00A85570" w:rsidP="00211EFE">
      <w:pPr>
        <w:pStyle w:val="Fronttext"/>
        <w:spacing w:before="120"/>
        <w:rPr>
          <w:i/>
        </w:rPr>
      </w:pPr>
      <w:r>
        <w:rPr>
          <w:i/>
        </w:rPr>
        <w:t>(</w:t>
      </w:r>
      <w:r w:rsidRPr="00EA558B">
        <w:rPr>
          <w:i/>
        </w:rPr>
        <w:t>First issued: 14 December 2014</w:t>
      </w:r>
      <w:r>
        <w:rPr>
          <w:i/>
        </w:rPr>
        <w:t>)</w:t>
      </w:r>
    </w:p>
    <w:p w14:paraId="06E61414" w14:textId="77777777" w:rsidR="000556BB" w:rsidRPr="00EA558B" w:rsidRDefault="000556BB" w:rsidP="00EA558B">
      <w:pPr>
        <w:pStyle w:val="Fronttext"/>
        <w:rPr>
          <w:i/>
        </w:rPr>
      </w:pPr>
    </w:p>
    <w:p w14:paraId="06E61415" w14:textId="77777777" w:rsidR="000556BB" w:rsidRPr="00EA558B" w:rsidRDefault="000556BB" w:rsidP="00EA558B">
      <w:pPr>
        <w:pStyle w:val="Fronttext"/>
        <w:rPr>
          <w:i/>
        </w:rPr>
      </w:pPr>
    </w:p>
    <w:p w14:paraId="06E61416" w14:textId="240B3177" w:rsidR="00255E99" w:rsidRPr="00211EFE" w:rsidRDefault="00255E99" w:rsidP="00EA558B">
      <w:pPr>
        <w:pStyle w:val="Fronttext"/>
      </w:pPr>
      <w:r w:rsidRPr="00211EFE">
        <w:t xml:space="preserve">Pro Forma </w:t>
      </w:r>
      <w:fldSimple w:instr=" DOCPROPERTY  &quot;Document num&quot;  \* MERGEFORMAT ">
        <w:r w:rsidR="004A21FA">
          <w:t>216</w:t>
        </w:r>
      </w:fldSimple>
      <w:r w:rsidRPr="00211EFE">
        <w:t xml:space="preserve"> [PF </w:t>
      </w:r>
      <w:fldSimple w:instr=" DOCPROPERTY  &quot;Document num&quot;  \* MERGEFORMAT ">
        <w:r w:rsidR="004A21FA">
          <w:t>216</w:t>
        </w:r>
      </w:fldSimple>
      <w:r w:rsidRPr="00211EFE">
        <w:t xml:space="preserve">] </w:t>
      </w:r>
      <w:r w:rsidR="00AD3C59" w:rsidRPr="00211EFE">
        <w:t>sets out the standard registration conditions that will usually be imposed on the registration of a company as an authorised audit company.</w:t>
      </w:r>
    </w:p>
    <w:p w14:paraId="06E61417" w14:textId="77777777" w:rsidR="00ED11D7" w:rsidRDefault="00ED11D7" w:rsidP="00EA558B">
      <w:pPr>
        <w:pStyle w:val="Bodytextplain"/>
      </w:pPr>
    </w:p>
    <w:p w14:paraId="06E61418" w14:textId="77777777" w:rsidR="00255E99" w:rsidRDefault="00255E99" w:rsidP="00EA558B">
      <w:pPr>
        <w:pStyle w:val="Fronttext"/>
        <w:jc w:val="center"/>
      </w:pPr>
      <w:r>
        <w:t>Australian Securities and Investments Commission</w:t>
      </w:r>
    </w:p>
    <w:p w14:paraId="06E61419" w14:textId="77777777" w:rsidR="00255E99" w:rsidRDefault="00AD3C59" w:rsidP="00EA558B">
      <w:pPr>
        <w:pStyle w:val="Fronttext"/>
        <w:jc w:val="center"/>
      </w:pPr>
      <w:r w:rsidRPr="00A73BDC">
        <w:rPr>
          <w:i/>
        </w:rPr>
        <w:t>Corporations</w:t>
      </w:r>
      <w:r w:rsidR="00495B6B" w:rsidRPr="00A73BDC">
        <w:rPr>
          <w:i/>
        </w:rPr>
        <w:t xml:space="preserve"> Act</w:t>
      </w:r>
      <w:r w:rsidR="00A73BDC" w:rsidRPr="00A73BDC">
        <w:rPr>
          <w:i/>
        </w:rPr>
        <w:t xml:space="preserve"> 2001</w:t>
      </w:r>
      <w:r w:rsidR="00880D18" w:rsidRPr="00AD3C59">
        <w:t xml:space="preserve">—section </w:t>
      </w:r>
      <w:r w:rsidRPr="00AD3C59">
        <w:t>1299D</w:t>
      </w:r>
    </w:p>
    <w:p w14:paraId="06E6141A" w14:textId="77777777" w:rsidR="00255E99" w:rsidRPr="00770A6D" w:rsidRDefault="00280C94" w:rsidP="00382E02">
      <w:pPr>
        <w:pStyle w:val="ProFormaH1"/>
      </w:pPr>
      <w:r>
        <w:br w:type="page"/>
      </w:r>
      <w:r w:rsidR="00011023" w:rsidRPr="00770A6D">
        <w:lastRenderedPageBreak/>
        <w:t>Notification obligations</w:t>
      </w:r>
    </w:p>
    <w:p w14:paraId="06E6141B" w14:textId="77777777" w:rsidR="00011023" w:rsidRDefault="00011023" w:rsidP="00770A6D">
      <w:pPr>
        <w:pStyle w:val="ProFormapara"/>
      </w:pPr>
      <w:r w:rsidRPr="00011023">
        <w:t>The company must notify ASIC, in writing, within 7 days of becoming aware of either of the following</w:t>
      </w:r>
      <w:r w:rsidR="00495B6B">
        <w:t>:</w:t>
      </w:r>
    </w:p>
    <w:p w14:paraId="06E6141C" w14:textId="77777777" w:rsidR="00255E99" w:rsidRDefault="00011023" w:rsidP="00770A6D">
      <w:pPr>
        <w:pStyle w:val="subparaa"/>
        <w:numPr>
          <w:ilvl w:val="2"/>
          <w:numId w:val="26"/>
        </w:numPr>
      </w:pPr>
      <w:r w:rsidRPr="00011023">
        <w:t>the company is not eligible to be registered as an authorised audit company under section 1299B of the Act; or</w:t>
      </w:r>
    </w:p>
    <w:p w14:paraId="06E6141D" w14:textId="77777777" w:rsidR="00011023" w:rsidRDefault="00011023" w:rsidP="00770A6D">
      <w:pPr>
        <w:pStyle w:val="Bodytextplain"/>
        <w:numPr>
          <w:ilvl w:val="2"/>
          <w:numId w:val="26"/>
        </w:numPr>
      </w:pPr>
      <w:r w:rsidRPr="00011023">
        <w:t>the company has not complied with, or has reasonable grounds to believe that it is unlikely that it will be able to comply with, its obligations in paragraph 2 of these conditions</w:t>
      </w:r>
      <w:r>
        <w:t>.</w:t>
      </w:r>
    </w:p>
    <w:p w14:paraId="06E6141E" w14:textId="77777777" w:rsidR="00011023" w:rsidRDefault="00011023" w:rsidP="008116C4">
      <w:pPr>
        <w:pStyle w:val="ProFormaH1"/>
      </w:pPr>
      <w:r>
        <w:t>Professional indemnity insurance</w:t>
      </w:r>
    </w:p>
    <w:p w14:paraId="06E6141F" w14:textId="77777777" w:rsidR="002A78EF" w:rsidRPr="00211EFE" w:rsidRDefault="002A78EF" w:rsidP="00211EFE">
      <w:pPr>
        <w:pStyle w:val="ProFormaH2"/>
      </w:pPr>
      <w:r w:rsidRPr="002A78EF">
        <w:t>Adequacy (quantum)</w:t>
      </w:r>
    </w:p>
    <w:p w14:paraId="06E61420" w14:textId="4F416604" w:rsidR="00011023" w:rsidRDefault="00B17389" w:rsidP="002A78EF">
      <w:pPr>
        <w:pStyle w:val="ProFormapara"/>
      </w:pPr>
      <w:r>
        <w:t>T</w:t>
      </w:r>
      <w:r w:rsidR="000927CB" w:rsidRPr="00B17389">
        <w:t>he company must, at all times, maintain an insurance policy that satisfies either of the methods used to determine the minimum insured amount, as outlined in Appendix </w:t>
      </w:r>
      <w:r w:rsidR="002A78EF" w:rsidRPr="00B17389">
        <w:t>1</w:t>
      </w:r>
      <w:r w:rsidR="000927CB" w:rsidRPr="00B17389">
        <w:t xml:space="preserve">, to be adequate for </w:t>
      </w:r>
      <w:r w:rsidR="000927CB" w:rsidRPr="00B17389">
        <w:rPr>
          <w:spacing w:val="-2"/>
        </w:rPr>
        <w:t>the purposes of s1299B</w:t>
      </w:r>
      <w:r w:rsidR="002A78EF">
        <w:t xml:space="preserve">. It must also satisfy </w:t>
      </w:r>
      <w:r w:rsidR="002A78EF" w:rsidRPr="002A78EF">
        <w:t>conditions 2.2 to 2.</w:t>
      </w:r>
      <w:r w:rsidR="00FF4A9F">
        <w:t>4</w:t>
      </w:r>
      <w:r w:rsidR="002A78EF" w:rsidRPr="002A78EF">
        <w:t xml:space="preserve"> of these conditions</w:t>
      </w:r>
      <w:r w:rsidR="00FF4A9F">
        <w:t xml:space="preserve">. </w:t>
      </w:r>
      <w:r w:rsidR="00011023" w:rsidRPr="00011023">
        <w:t>Unless we otherwise agree, the policy must be written by an APRA-regulated insurer.</w:t>
      </w:r>
    </w:p>
    <w:p w14:paraId="06E61425" w14:textId="77777777" w:rsidR="0067744F" w:rsidRDefault="0067744F" w:rsidP="008116C4">
      <w:pPr>
        <w:pStyle w:val="ProFormaH2"/>
      </w:pPr>
      <w:r>
        <w:t>Deductible</w:t>
      </w:r>
    </w:p>
    <w:p w14:paraId="06E61426" w14:textId="77777777" w:rsidR="0067744F" w:rsidRDefault="0067744F" w:rsidP="008116C4">
      <w:pPr>
        <w:pStyle w:val="ProFormapara"/>
      </w:pPr>
      <w:r>
        <w:t>The insurance policy may have a deductible or excess which does not exceed the value of the net tangible assets of the company on the date the insurance contract is entered into.</w:t>
      </w:r>
    </w:p>
    <w:p w14:paraId="06E61427" w14:textId="77777777" w:rsidR="0067744F" w:rsidRDefault="0067744F" w:rsidP="008116C4">
      <w:pPr>
        <w:pStyle w:val="ProFormaH2"/>
      </w:pPr>
      <w:r>
        <w:t>Appropriateness (terms and conditions)</w:t>
      </w:r>
    </w:p>
    <w:p w14:paraId="06E61428" w14:textId="77777777" w:rsidR="0067744F" w:rsidRDefault="0067744F" w:rsidP="008116C4">
      <w:pPr>
        <w:pStyle w:val="ProFormapara"/>
        <w:keepNext/>
      </w:pPr>
      <w:r>
        <w:t>The insurance policy must, at all times during the period of the cover:</w:t>
      </w:r>
    </w:p>
    <w:p w14:paraId="06E61429" w14:textId="77777777" w:rsidR="0067744F" w:rsidRDefault="0067744F" w:rsidP="00770A6D">
      <w:pPr>
        <w:pStyle w:val="Bodytextplain"/>
        <w:numPr>
          <w:ilvl w:val="2"/>
          <w:numId w:val="26"/>
        </w:numPr>
      </w:pPr>
      <w:r>
        <w:t>cover claims made in respect of Corporations Act audits conducted by the company, its officers and employees; and</w:t>
      </w:r>
    </w:p>
    <w:p w14:paraId="06E6142A" w14:textId="77777777" w:rsidR="0067744F" w:rsidRDefault="0067744F" w:rsidP="00770A6D">
      <w:pPr>
        <w:pStyle w:val="Bodytextplain"/>
        <w:numPr>
          <w:ilvl w:val="2"/>
          <w:numId w:val="26"/>
        </w:numPr>
      </w:pPr>
      <w:r>
        <w:t>cover costs and expenses incurred by the company, its officers and employees when defending and settling claims of the kind referred to in paragraph (a), made against the company, an officer or an employee including legal costs and expenses of investigation; and</w:t>
      </w:r>
    </w:p>
    <w:p w14:paraId="06E6142B" w14:textId="77777777" w:rsidR="0067744F" w:rsidRDefault="0067744F" w:rsidP="00770A6D">
      <w:pPr>
        <w:pStyle w:val="Bodytextplain"/>
        <w:numPr>
          <w:ilvl w:val="2"/>
          <w:numId w:val="26"/>
        </w:numPr>
      </w:pPr>
      <w:r>
        <w:t>cover fraud by officers, and/or employees of the company relating to a Corporations Act audit; and</w:t>
      </w:r>
    </w:p>
    <w:p w14:paraId="06E6142C" w14:textId="77777777" w:rsidR="0067744F" w:rsidRDefault="0067744F" w:rsidP="00770A6D">
      <w:pPr>
        <w:pStyle w:val="Bodytextplain"/>
        <w:numPr>
          <w:ilvl w:val="2"/>
          <w:numId w:val="26"/>
        </w:numPr>
      </w:pPr>
      <w:r>
        <w:lastRenderedPageBreak/>
        <w:t>not be cancellable by the insurer solely because of an innocent non-disclosure or misrepresentation by the company, its officers or employees.</w:t>
      </w:r>
    </w:p>
    <w:p w14:paraId="06E6142D" w14:textId="2ECDE039" w:rsidR="0067744F" w:rsidRDefault="0067744F" w:rsidP="008116C4">
      <w:pPr>
        <w:pStyle w:val="ProFormapara"/>
      </w:pPr>
      <w:r>
        <w:t>Subject to conditions 2.2 to 2.</w:t>
      </w:r>
      <w:r w:rsidR="00FF4A9F">
        <w:t>3</w:t>
      </w:r>
      <w:r>
        <w:t xml:space="preserve">, the insurance policy must be on ordinary commercial terms offered by insurers for insurance of that type at the time the insurance contract is entered into, </w:t>
      </w:r>
      <w:r w:rsidRPr="0067744F">
        <w:t>including only being subject to exclusions and conditions standard or usual for insurance of that type.</w:t>
      </w:r>
    </w:p>
    <w:p w14:paraId="06E6142E" w14:textId="77777777" w:rsidR="0067744F" w:rsidRDefault="0067744F" w:rsidP="008116C4">
      <w:pPr>
        <w:pStyle w:val="ProFormaH1"/>
      </w:pPr>
      <w:r>
        <w:t>Complaints handling</w:t>
      </w:r>
    </w:p>
    <w:p w14:paraId="06E6142F" w14:textId="77777777" w:rsidR="0067744F" w:rsidRDefault="0067744F" w:rsidP="008116C4">
      <w:pPr>
        <w:pStyle w:val="ProFormapara"/>
      </w:pPr>
      <w:r w:rsidRPr="0067744F">
        <w:t>The company must implement complaints handling procedures consistent with Australian Standard AS 4269:1995, ‘Complaints Handling’ as at 5 February 1995 and must document these procedures. All complaints received in relation to Corporations Act audits must be dealt with in accordance with these procedures.</w:t>
      </w:r>
    </w:p>
    <w:p w14:paraId="06E61430" w14:textId="77777777" w:rsidR="0067744F" w:rsidRDefault="0067744F" w:rsidP="008116C4">
      <w:pPr>
        <w:pStyle w:val="ProFormaH1"/>
      </w:pPr>
      <w:r>
        <w:t>Run-off cover</w:t>
      </w:r>
    </w:p>
    <w:p w14:paraId="06E61431" w14:textId="77777777" w:rsidR="0067744F" w:rsidRDefault="0067744F" w:rsidP="008116C4">
      <w:pPr>
        <w:pStyle w:val="ProFormapara"/>
      </w:pPr>
      <w:r w:rsidRPr="0067744F">
        <w:t>The company must not have a person as a director who has not, within 7 days of registration of the company as an authorised audit company or the person becoming a director of the company, given ASIC a copy of a deed covering the director’s responsibilities in relation to run-off cover that:</w:t>
      </w:r>
    </w:p>
    <w:p w14:paraId="06E61432" w14:textId="77777777" w:rsidR="0067744F" w:rsidRDefault="0067744F" w:rsidP="00770A6D">
      <w:pPr>
        <w:pStyle w:val="Bodytextplain"/>
        <w:numPr>
          <w:ilvl w:val="2"/>
          <w:numId w:val="26"/>
        </w:numPr>
      </w:pPr>
      <w:r>
        <w:t>is executed by the director and expressed to be in favour of the company and ASIC; and</w:t>
      </w:r>
    </w:p>
    <w:p w14:paraId="06E61433" w14:textId="77777777" w:rsidR="0067744F" w:rsidRDefault="0067744F" w:rsidP="00770A6D">
      <w:pPr>
        <w:pStyle w:val="Bodytextplain"/>
        <w:numPr>
          <w:ilvl w:val="2"/>
          <w:numId w:val="26"/>
        </w:numPr>
      </w:pPr>
      <w:r>
        <w:t>is in the terms set out in ASIC Pro Forma [PF 217].</w:t>
      </w:r>
    </w:p>
    <w:p w14:paraId="06E61434" w14:textId="77777777" w:rsidR="0067744F" w:rsidRDefault="0067744F" w:rsidP="008116C4">
      <w:pPr>
        <w:pStyle w:val="ProFormapara"/>
      </w:pPr>
      <w:r w:rsidRPr="0067744F">
        <w:t>The company must keep an original of each deed executed in accordance with condition 4.1.</w:t>
      </w:r>
    </w:p>
    <w:p w14:paraId="06E61435" w14:textId="77777777" w:rsidR="0067744F" w:rsidRDefault="0067744F" w:rsidP="008116C4">
      <w:pPr>
        <w:pStyle w:val="ProFormaH1"/>
      </w:pPr>
      <w:r>
        <w:t>Interpretation</w:t>
      </w:r>
    </w:p>
    <w:p w14:paraId="06E61436" w14:textId="77777777" w:rsidR="0067744F" w:rsidRDefault="0067744F" w:rsidP="008116C4">
      <w:pPr>
        <w:pStyle w:val="ProFormapara"/>
        <w:keepNext/>
      </w:pPr>
      <w:r w:rsidRPr="0067744F">
        <w:t>In these conditions:</w:t>
      </w:r>
    </w:p>
    <w:p w14:paraId="06E61437" w14:textId="77777777" w:rsidR="0067744F" w:rsidRDefault="0067744F" w:rsidP="00770A6D">
      <w:pPr>
        <w:pStyle w:val="Bodytextplain"/>
        <w:numPr>
          <w:ilvl w:val="2"/>
          <w:numId w:val="26"/>
        </w:numPr>
      </w:pPr>
      <w:r w:rsidRPr="0067744F">
        <w:rPr>
          <w:b/>
        </w:rPr>
        <w:t xml:space="preserve">Act </w:t>
      </w:r>
      <w:r>
        <w:t xml:space="preserve">means the </w:t>
      </w:r>
      <w:r w:rsidRPr="0067744F">
        <w:rPr>
          <w:i/>
        </w:rPr>
        <w:t>Corporations Act 2001</w:t>
      </w:r>
      <w:r>
        <w:t>.</w:t>
      </w:r>
    </w:p>
    <w:p w14:paraId="06E61438" w14:textId="77777777" w:rsidR="0067744F" w:rsidRDefault="0067744F" w:rsidP="00770A6D">
      <w:pPr>
        <w:pStyle w:val="Bodytextplain"/>
        <w:numPr>
          <w:ilvl w:val="2"/>
          <w:numId w:val="26"/>
        </w:numPr>
      </w:pPr>
      <w:r w:rsidRPr="0067744F">
        <w:rPr>
          <w:b/>
        </w:rPr>
        <w:t>APRA</w:t>
      </w:r>
      <w:r>
        <w:t>-regulated insurer means an entity permitted by the Insurance Act 1973 to write insurance business in Australia.</w:t>
      </w:r>
    </w:p>
    <w:p w14:paraId="06E61439" w14:textId="77777777" w:rsidR="0067744F" w:rsidRDefault="0067744F" w:rsidP="00770A6D">
      <w:pPr>
        <w:pStyle w:val="Bodytextplain"/>
        <w:numPr>
          <w:ilvl w:val="2"/>
          <w:numId w:val="26"/>
        </w:numPr>
      </w:pPr>
      <w:r w:rsidRPr="0067744F">
        <w:rPr>
          <w:b/>
        </w:rPr>
        <w:t>Corporations Act audit</w:t>
      </w:r>
      <w:r>
        <w:t xml:space="preserve"> means:</w:t>
      </w:r>
    </w:p>
    <w:p w14:paraId="06E6143A" w14:textId="77777777" w:rsidR="0067744F" w:rsidRDefault="0067744F" w:rsidP="0067744F">
      <w:pPr>
        <w:pStyle w:val="Bodytextplain"/>
        <w:numPr>
          <w:ilvl w:val="3"/>
          <w:numId w:val="32"/>
        </w:numPr>
      </w:pPr>
      <w:r>
        <w:t>an audit of a company, registered scheme or disclosing entity under a provision of the Act;</w:t>
      </w:r>
    </w:p>
    <w:p w14:paraId="06E6143B" w14:textId="77777777" w:rsidR="0067744F" w:rsidRDefault="0067744F" w:rsidP="0067744F">
      <w:pPr>
        <w:pStyle w:val="Bodytextplain"/>
        <w:numPr>
          <w:ilvl w:val="3"/>
          <w:numId w:val="32"/>
        </w:numPr>
      </w:pPr>
      <w:r>
        <w:t>an audit required under a condition of or otherwise conducted to obtain the benefit of ASIC relief in relation to the Act; or</w:t>
      </w:r>
    </w:p>
    <w:p w14:paraId="06E6143C" w14:textId="77777777" w:rsidR="0067744F" w:rsidRDefault="0067744F" w:rsidP="0067744F">
      <w:pPr>
        <w:pStyle w:val="Bodytextplain"/>
        <w:numPr>
          <w:ilvl w:val="3"/>
          <w:numId w:val="32"/>
        </w:numPr>
      </w:pPr>
      <w:r>
        <w:t>an audit conducted in accordance with the operating rules of a licensed financial market.</w:t>
      </w:r>
    </w:p>
    <w:p w14:paraId="06E6143D" w14:textId="77777777" w:rsidR="0067744F" w:rsidRDefault="0067744F" w:rsidP="00211EFE">
      <w:pPr>
        <w:pStyle w:val="Bodytextplain"/>
        <w:numPr>
          <w:ilvl w:val="2"/>
          <w:numId w:val="26"/>
        </w:numPr>
      </w:pPr>
      <w:r w:rsidRPr="0067744F">
        <w:rPr>
          <w:b/>
        </w:rPr>
        <w:t xml:space="preserve">employee </w:t>
      </w:r>
      <w:r>
        <w:t>means a past or present employee of the company.</w:t>
      </w:r>
    </w:p>
    <w:p w14:paraId="06E6143E" w14:textId="77777777" w:rsidR="0067744F" w:rsidRDefault="0067744F" w:rsidP="00211EFE">
      <w:pPr>
        <w:pStyle w:val="Bodytextplain"/>
        <w:numPr>
          <w:ilvl w:val="2"/>
          <w:numId w:val="26"/>
        </w:numPr>
      </w:pPr>
      <w:r w:rsidRPr="0067744F">
        <w:rPr>
          <w:b/>
        </w:rPr>
        <w:t>engagement fee</w:t>
      </w:r>
      <w:r>
        <w:t xml:space="preserve"> means the total remuneration payable to the company for services rendered or to be rendered in relation to a Corporations Act audit.</w:t>
      </w:r>
    </w:p>
    <w:p w14:paraId="06E6143F" w14:textId="77777777" w:rsidR="0067744F" w:rsidRDefault="0067744F" w:rsidP="00211EFE">
      <w:pPr>
        <w:pStyle w:val="Bodytextplain"/>
        <w:numPr>
          <w:ilvl w:val="2"/>
          <w:numId w:val="26"/>
        </w:numPr>
      </w:pPr>
      <w:r w:rsidRPr="0067744F">
        <w:rPr>
          <w:b/>
        </w:rPr>
        <w:t>officer</w:t>
      </w:r>
      <w:r>
        <w:t xml:space="preserve"> means a past or present officer (as defined in s9 of the Act) of the company.</w:t>
      </w:r>
    </w:p>
    <w:p w14:paraId="06E61440" w14:textId="77777777" w:rsidR="0067744F" w:rsidRDefault="0067744F" w:rsidP="00211EFE">
      <w:pPr>
        <w:pStyle w:val="Bodytextplain"/>
        <w:numPr>
          <w:ilvl w:val="2"/>
          <w:numId w:val="26"/>
        </w:numPr>
      </w:pPr>
      <w:r w:rsidRPr="0067744F">
        <w:rPr>
          <w:b/>
        </w:rPr>
        <w:t>net tangible assets</w:t>
      </w:r>
      <w:r>
        <w:t xml:space="preserve"> means, in relation to a company on a particular date, the tangible assets (being monetary assets and assets with physical substance) less all liabilities of the company where the assets and liabilities are determined in accordance with the accounting standards that would have applied to the company, if the company was required to report under Chapter 2M of the Act and had a financial year of 12 months ending on that date.</w:t>
      </w:r>
    </w:p>
    <w:p w14:paraId="06E61441" w14:textId="77777777" w:rsidR="0067744F" w:rsidRDefault="0067744F" w:rsidP="00211EFE">
      <w:pPr>
        <w:pStyle w:val="Bodytextplain"/>
        <w:numPr>
          <w:ilvl w:val="2"/>
          <w:numId w:val="26"/>
        </w:numPr>
      </w:pPr>
      <w:r w:rsidRPr="0067744F">
        <w:rPr>
          <w:b/>
        </w:rPr>
        <w:t>run-off</w:t>
      </w:r>
      <w:r>
        <w:t xml:space="preserve"> cover means insurance cover for claims made during the run-off period against the company in respect of Corporations Act audits conducted by the company during its period of registration as an authorised audit company.</w:t>
      </w:r>
    </w:p>
    <w:p w14:paraId="06E61442" w14:textId="77777777" w:rsidR="000927CB" w:rsidRDefault="0067744F" w:rsidP="00211EFE">
      <w:pPr>
        <w:pStyle w:val="Bodytextplain"/>
        <w:numPr>
          <w:ilvl w:val="2"/>
          <w:numId w:val="26"/>
        </w:numPr>
      </w:pPr>
      <w:r w:rsidRPr="0067744F">
        <w:rPr>
          <w:b/>
        </w:rPr>
        <w:t>run-off period</w:t>
      </w:r>
      <w:r>
        <w:t xml:space="preserve"> means the period that is seven years from and including the date on which the company's registration as an authorised audit company is cancelled.</w:t>
      </w:r>
    </w:p>
    <w:p w14:paraId="06E61443" w14:textId="77777777" w:rsidR="000927CB" w:rsidRDefault="000927CB">
      <w:pPr>
        <w:spacing w:after="0"/>
      </w:pPr>
      <w:r>
        <w:br w:type="page"/>
      </w:r>
    </w:p>
    <w:p w14:paraId="06E61444" w14:textId="77777777" w:rsidR="000927CB" w:rsidRDefault="000927CB" w:rsidP="007E1383">
      <w:pPr>
        <w:pStyle w:val="Heading1nonumber"/>
        <w:numPr>
          <w:ilvl w:val="0"/>
          <w:numId w:val="0"/>
        </w:numPr>
      </w:pPr>
      <w:bookmarkStart w:id="2" w:name="_Toc428453976"/>
      <w:r w:rsidRPr="00902214">
        <w:t xml:space="preserve">Appendix </w:t>
      </w:r>
      <w:r>
        <w:t>1</w:t>
      </w:r>
      <w:r w:rsidRPr="00902214">
        <w:t>: Minimum insured amounts for professional indemnity insurance cover (</w:t>
      </w:r>
      <w:r>
        <w:t>a</w:t>
      </w:r>
      <w:r w:rsidRPr="00902214">
        <w:t>uthorised audit compan</w:t>
      </w:r>
      <w:r>
        <w:t>ies</w:t>
      </w:r>
      <w:r w:rsidRPr="00902214">
        <w:t>)</w:t>
      </w:r>
      <w:bookmarkEnd w:id="2"/>
      <w:r>
        <w:t xml:space="preserve"> </w:t>
      </w:r>
    </w:p>
    <w:p w14:paraId="06E61446" w14:textId="6C2CDE4B" w:rsidR="000927CB" w:rsidRDefault="000927CB" w:rsidP="000927CB">
      <w:pPr>
        <w:pStyle w:val="tabletitlefullwidth"/>
      </w:pPr>
      <w:r>
        <w:t>Total number of principals and annual fee income method</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338"/>
        <w:gridCol w:w="1948"/>
      </w:tblGrid>
      <w:tr w:rsidR="000927CB" w:rsidRPr="000540E1" w14:paraId="06E61449" w14:textId="77777777" w:rsidTr="00515747">
        <w:trPr>
          <w:cantSplit/>
          <w:tblHeader/>
        </w:trPr>
        <w:tc>
          <w:tcPr>
            <w:tcW w:w="3951" w:type="pct"/>
            <w:shd w:val="clear" w:color="auto" w:fill="C2E3FA"/>
          </w:tcPr>
          <w:p w14:paraId="06E61447" w14:textId="77777777" w:rsidR="000927CB" w:rsidRPr="000540E1" w:rsidRDefault="000927CB" w:rsidP="00515747">
            <w:pPr>
              <w:pStyle w:val="tablehead"/>
            </w:pPr>
            <w:r>
              <w:t>Applicants</w:t>
            </w:r>
          </w:p>
        </w:tc>
        <w:tc>
          <w:tcPr>
            <w:tcW w:w="1049" w:type="pct"/>
            <w:shd w:val="clear" w:color="auto" w:fill="C2E3FA"/>
          </w:tcPr>
          <w:p w14:paraId="06E61448" w14:textId="77777777" w:rsidR="000927CB" w:rsidRPr="000540E1" w:rsidRDefault="000927CB" w:rsidP="00515747">
            <w:pPr>
              <w:pStyle w:val="tablehead"/>
              <w:ind w:left="317" w:hanging="1"/>
            </w:pPr>
            <w:r>
              <w:t>Minimum insured amount</w:t>
            </w:r>
          </w:p>
        </w:tc>
      </w:tr>
      <w:tr w:rsidR="000927CB" w:rsidRPr="000540E1" w14:paraId="06E6144E" w14:textId="77777777" w:rsidTr="00515747">
        <w:trPr>
          <w:cantSplit/>
        </w:trPr>
        <w:tc>
          <w:tcPr>
            <w:tcW w:w="3951" w:type="pct"/>
          </w:tcPr>
          <w:p w14:paraId="06E6144A" w14:textId="77777777" w:rsidR="000927CB" w:rsidRDefault="000927CB" w:rsidP="00515747">
            <w:pPr>
              <w:pStyle w:val="tbltext"/>
            </w:pPr>
            <w:r w:rsidRPr="00BB295A">
              <w:t xml:space="preserve">1. </w:t>
            </w:r>
            <w:r>
              <w:t>Applicants</w:t>
            </w:r>
            <w:r w:rsidRPr="00BB295A">
              <w:t xml:space="preserve"> </w:t>
            </w:r>
            <w:r>
              <w:t xml:space="preserve">who were </w:t>
            </w:r>
            <w:r w:rsidRPr="00BB295A">
              <w:t>in an accounting practice that</w:t>
            </w:r>
            <w:r>
              <w:t>,</w:t>
            </w:r>
            <w:r w:rsidRPr="00BB295A">
              <w:t xml:space="preserve"> at 30 June immediately preceding the </w:t>
            </w:r>
            <w:r>
              <w:t>application</w:t>
            </w:r>
            <w:r w:rsidRPr="00BB295A">
              <w:t xml:space="preserve">: </w:t>
            </w:r>
          </w:p>
          <w:p w14:paraId="06E6144B" w14:textId="77777777" w:rsidR="000927CB" w:rsidRDefault="000927CB" w:rsidP="00515747">
            <w:pPr>
              <w:pStyle w:val="tablebullet"/>
            </w:pPr>
            <w:r w:rsidRPr="00BB295A">
              <w:t>consist</w:t>
            </w:r>
            <w:r>
              <w:t>ed</w:t>
            </w:r>
            <w:r w:rsidRPr="00BB295A">
              <w:t xml:space="preserve"> of less than 20 principals; </w:t>
            </w:r>
            <w:r w:rsidRPr="00C85C66">
              <w:t>AND</w:t>
            </w:r>
            <w:r w:rsidRPr="00BB295A">
              <w:t xml:space="preserve"> </w:t>
            </w:r>
          </w:p>
          <w:p w14:paraId="06E6144C" w14:textId="77777777" w:rsidR="000927CB" w:rsidRPr="000540E1" w:rsidRDefault="000927CB" w:rsidP="00515747">
            <w:pPr>
              <w:pStyle w:val="tablebullet"/>
            </w:pPr>
            <w:r w:rsidRPr="00BB295A">
              <w:t xml:space="preserve">generated total annual fee income </w:t>
            </w:r>
            <w:r>
              <w:t xml:space="preserve">of </w:t>
            </w:r>
            <w:r w:rsidRPr="00BB295A">
              <w:t xml:space="preserve">less than $10 million for the financial year ended 30 June immediately preceding the </w:t>
            </w:r>
            <w:r>
              <w:t>application</w:t>
            </w:r>
            <w:r w:rsidRPr="00BB295A">
              <w:t>.</w:t>
            </w:r>
          </w:p>
        </w:tc>
        <w:tc>
          <w:tcPr>
            <w:tcW w:w="1049" w:type="pct"/>
          </w:tcPr>
          <w:p w14:paraId="06E6144D" w14:textId="77777777" w:rsidR="000927CB" w:rsidRPr="000540E1" w:rsidRDefault="000927CB" w:rsidP="00515747">
            <w:pPr>
              <w:pStyle w:val="tbltext"/>
              <w:ind w:left="317"/>
            </w:pPr>
            <w:r>
              <w:t>$2 million</w:t>
            </w:r>
          </w:p>
        </w:tc>
      </w:tr>
      <w:tr w:rsidR="000927CB" w:rsidRPr="000540E1" w14:paraId="06E61451" w14:textId="77777777" w:rsidTr="00515747">
        <w:trPr>
          <w:cantSplit/>
        </w:trPr>
        <w:tc>
          <w:tcPr>
            <w:tcW w:w="3951" w:type="pct"/>
          </w:tcPr>
          <w:p w14:paraId="06E6144F" w14:textId="77777777" w:rsidR="000927CB" w:rsidRPr="000540E1" w:rsidRDefault="000927CB" w:rsidP="00515747">
            <w:pPr>
              <w:pStyle w:val="tbltext"/>
            </w:pPr>
            <w:r w:rsidRPr="00BB295A">
              <w:t xml:space="preserve">2. </w:t>
            </w:r>
            <w:r>
              <w:t>Applicants</w:t>
            </w:r>
            <w:r w:rsidRPr="00BB295A">
              <w:t xml:space="preserve"> other than those in </w:t>
            </w:r>
            <w:r>
              <w:t>(</w:t>
            </w:r>
            <w:r w:rsidRPr="00BB295A">
              <w:t>1</w:t>
            </w:r>
            <w:r>
              <w:t>) above</w:t>
            </w:r>
            <w:r w:rsidRPr="00BB295A">
              <w:t xml:space="preserve"> and </w:t>
            </w:r>
            <w:r>
              <w:t>(</w:t>
            </w:r>
            <w:r w:rsidRPr="00BB295A">
              <w:t>3</w:t>
            </w:r>
            <w:r>
              <w:t>)</w:t>
            </w:r>
            <w:r w:rsidRPr="00BB295A">
              <w:t xml:space="preserve"> below.</w:t>
            </w:r>
          </w:p>
        </w:tc>
        <w:tc>
          <w:tcPr>
            <w:tcW w:w="1049" w:type="pct"/>
          </w:tcPr>
          <w:p w14:paraId="06E61450" w14:textId="77777777" w:rsidR="000927CB" w:rsidRPr="000540E1" w:rsidRDefault="000927CB" w:rsidP="00515747">
            <w:pPr>
              <w:pStyle w:val="tbltext"/>
              <w:ind w:left="317"/>
            </w:pPr>
            <w:r>
              <w:t>$10 million</w:t>
            </w:r>
          </w:p>
        </w:tc>
      </w:tr>
      <w:tr w:rsidR="000927CB" w:rsidRPr="000540E1" w14:paraId="06E61456" w14:textId="77777777" w:rsidTr="00515747">
        <w:trPr>
          <w:cantSplit/>
        </w:trPr>
        <w:tc>
          <w:tcPr>
            <w:tcW w:w="3951" w:type="pct"/>
          </w:tcPr>
          <w:p w14:paraId="06E61452" w14:textId="77777777" w:rsidR="000927CB" w:rsidRDefault="000927CB" w:rsidP="00515747">
            <w:pPr>
              <w:pStyle w:val="tbltext"/>
            </w:pPr>
            <w:r>
              <w:t>3. Applicants who were in an accounting practice that, at 30 June immediately preceding the application:</w:t>
            </w:r>
          </w:p>
          <w:p w14:paraId="06E61453" w14:textId="77777777" w:rsidR="000927CB" w:rsidRDefault="000927CB" w:rsidP="00515747">
            <w:pPr>
              <w:pStyle w:val="tablebullet"/>
            </w:pPr>
            <w:r>
              <w:t xml:space="preserve">consisted of more than 60 principals; </w:t>
            </w:r>
            <w:r w:rsidRPr="00C85C66">
              <w:t>OR</w:t>
            </w:r>
          </w:p>
          <w:p w14:paraId="06E61454" w14:textId="77777777" w:rsidR="000927CB" w:rsidRPr="000540E1" w:rsidRDefault="000927CB" w:rsidP="00515747">
            <w:pPr>
              <w:pStyle w:val="tablebullet"/>
            </w:pPr>
            <w:r>
              <w:t xml:space="preserve">generated total annual fee income of more than $20 million for the financial year ended 30 June immediately preceding the application. </w:t>
            </w:r>
          </w:p>
        </w:tc>
        <w:tc>
          <w:tcPr>
            <w:tcW w:w="1049" w:type="pct"/>
          </w:tcPr>
          <w:p w14:paraId="06E61455" w14:textId="77777777" w:rsidR="000927CB" w:rsidRPr="000540E1" w:rsidRDefault="000927CB" w:rsidP="00515747">
            <w:pPr>
              <w:pStyle w:val="tbltext"/>
              <w:ind w:left="317"/>
            </w:pPr>
            <w:r w:rsidRPr="009D34AF">
              <w:t>$75 million</w:t>
            </w:r>
          </w:p>
        </w:tc>
      </w:tr>
    </w:tbl>
    <w:p w14:paraId="06E61458" w14:textId="79201488" w:rsidR="000927CB" w:rsidRDefault="000927CB" w:rsidP="000927CB">
      <w:pPr>
        <w:pStyle w:val="tabletitlefullwidth"/>
      </w:pPr>
      <w:r>
        <w:t>Estimated audit engagement fee method</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6912"/>
        <w:gridCol w:w="2374"/>
      </w:tblGrid>
      <w:tr w:rsidR="000927CB" w:rsidRPr="000540E1" w14:paraId="06E6145B" w14:textId="77777777" w:rsidTr="00515747">
        <w:trPr>
          <w:cantSplit/>
          <w:tblHeader/>
        </w:trPr>
        <w:tc>
          <w:tcPr>
            <w:tcW w:w="3722" w:type="pct"/>
            <w:shd w:val="clear" w:color="auto" w:fill="C2E3FA"/>
          </w:tcPr>
          <w:p w14:paraId="06E61459" w14:textId="77777777" w:rsidR="000927CB" w:rsidRPr="000540E1" w:rsidRDefault="000927CB" w:rsidP="00515747">
            <w:pPr>
              <w:pStyle w:val="tablehead"/>
            </w:pPr>
            <w:r>
              <w:t>Audit engagement fee</w:t>
            </w:r>
          </w:p>
        </w:tc>
        <w:tc>
          <w:tcPr>
            <w:tcW w:w="1278" w:type="pct"/>
            <w:shd w:val="clear" w:color="auto" w:fill="C2E3FA"/>
          </w:tcPr>
          <w:p w14:paraId="06E6145A" w14:textId="77777777" w:rsidR="000927CB" w:rsidRPr="000540E1" w:rsidRDefault="000927CB" w:rsidP="00515747">
            <w:pPr>
              <w:pStyle w:val="tablehead"/>
              <w:ind w:left="743"/>
            </w:pPr>
            <w:r w:rsidRPr="00077AD6">
              <w:t>M</w:t>
            </w:r>
            <w:r>
              <w:t>inimum insured amount</w:t>
            </w:r>
          </w:p>
        </w:tc>
      </w:tr>
      <w:tr w:rsidR="000927CB" w:rsidRPr="000540E1" w14:paraId="06E6145E" w14:textId="77777777" w:rsidTr="00515747">
        <w:trPr>
          <w:cantSplit/>
        </w:trPr>
        <w:tc>
          <w:tcPr>
            <w:tcW w:w="3722" w:type="pct"/>
          </w:tcPr>
          <w:p w14:paraId="06E6145C" w14:textId="77777777" w:rsidR="000927CB" w:rsidRPr="000540E1" w:rsidRDefault="000927CB" w:rsidP="00515747">
            <w:pPr>
              <w:pStyle w:val="tbltext"/>
            </w:pPr>
            <w:r>
              <w:t>If the fee is estimated to be $100,000 or less</w:t>
            </w:r>
          </w:p>
        </w:tc>
        <w:tc>
          <w:tcPr>
            <w:tcW w:w="1278" w:type="pct"/>
          </w:tcPr>
          <w:p w14:paraId="06E6145D" w14:textId="77777777" w:rsidR="000927CB" w:rsidRPr="000540E1" w:rsidRDefault="000927CB" w:rsidP="00515747">
            <w:pPr>
              <w:pStyle w:val="tbltext"/>
              <w:ind w:left="743"/>
            </w:pPr>
            <w:r>
              <w:t>$2 million</w:t>
            </w:r>
          </w:p>
        </w:tc>
      </w:tr>
      <w:tr w:rsidR="000927CB" w:rsidRPr="000540E1" w14:paraId="06E61461" w14:textId="77777777" w:rsidTr="00515747">
        <w:trPr>
          <w:cantSplit/>
        </w:trPr>
        <w:tc>
          <w:tcPr>
            <w:tcW w:w="3722" w:type="pct"/>
          </w:tcPr>
          <w:p w14:paraId="06E6145F" w14:textId="2D9CB547" w:rsidR="000927CB" w:rsidRPr="000540E1" w:rsidRDefault="000927CB" w:rsidP="00515747">
            <w:pPr>
              <w:pStyle w:val="tbltext"/>
            </w:pPr>
            <w:r>
              <w:t>If the</w:t>
            </w:r>
            <w:r w:rsidR="00F674A6">
              <w:t xml:space="preserve"> fee</w:t>
            </w:r>
            <w:r>
              <w:t xml:space="preserve"> is estimated to be $100,000 or more but less than $300,000</w:t>
            </w:r>
          </w:p>
        </w:tc>
        <w:tc>
          <w:tcPr>
            <w:tcW w:w="1278" w:type="pct"/>
          </w:tcPr>
          <w:p w14:paraId="06E61460" w14:textId="77777777" w:rsidR="000927CB" w:rsidRPr="000540E1" w:rsidRDefault="000927CB" w:rsidP="00515747">
            <w:pPr>
              <w:pStyle w:val="tbltext"/>
              <w:ind w:left="743"/>
            </w:pPr>
            <w:r>
              <w:t>$5 million</w:t>
            </w:r>
          </w:p>
        </w:tc>
      </w:tr>
      <w:tr w:rsidR="000927CB" w:rsidRPr="000540E1" w14:paraId="06E61464" w14:textId="77777777" w:rsidTr="00515747">
        <w:trPr>
          <w:cantSplit/>
        </w:trPr>
        <w:tc>
          <w:tcPr>
            <w:tcW w:w="3722" w:type="pct"/>
          </w:tcPr>
          <w:p w14:paraId="06E61462" w14:textId="77777777" w:rsidR="000927CB" w:rsidRPr="000540E1" w:rsidRDefault="000927CB" w:rsidP="00515747">
            <w:pPr>
              <w:pStyle w:val="tbltext"/>
            </w:pPr>
            <w:r>
              <w:t>If the fee is estimated to be $300,000 or more but less than $500,000</w:t>
            </w:r>
          </w:p>
        </w:tc>
        <w:tc>
          <w:tcPr>
            <w:tcW w:w="1278" w:type="pct"/>
          </w:tcPr>
          <w:p w14:paraId="06E61463" w14:textId="77777777" w:rsidR="000927CB" w:rsidRPr="000540E1" w:rsidRDefault="000927CB" w:rsidP="00515747">
            <w:pPr>
              <w:pStyle w:val="tbltext"/>
              <w:ind w:left="743"/>
            </w:pPr>
            <w:r>
              <w:t>$10 million</w:t>
            </w:r>
          </w:p>
        </w:tc>
      </w:tr>
      <w:tr w:rsidR="000927CB" w:rsidRPr="000540E1" w14:paraId="06E61467" w14:textId="77777777" w:rsidTr="00515747">
        <w:trPr>
          <w:cantSplit/>
        </w:trPr>
        <w:tc>
          <w:tcPr>
            <w:tcW w:w="3722" w:type="pct"/>
          </w:tcPr>
          <w:p w14:paraId="06E61465" w14:textId="77777777" w:rsidR="000927CB" w:rsidRPr="000540E1" w:rsidRDefault="000927CB" w:rsidP="00515747">
            <w:pPr>
              <w:pStyle w:val="tbltext"/>
            </w:pPr>
            <w:r>
              <w:t>If the fee is estimated to be $500,000 or more but less than $1,000,000</w:t>
            </w:r>
          </w:p>
        </w:tc>
        <w:tc>
          <w:tcPr>
            <w:tcW w:w="1278" w:type="pct"/>
          </w:tcPr>
          <w:p w14:paraId="06E61466" w14:textId="77777777" w:rsidR="000927CB" w:rsidRPr="000540E1" w:rsidRDefault="000927CB" w:rsidP="00515747">
            <w:pPr>
              <w:pStyle w:val="tbltext"/>
              <w:ind w:left="743"/>
            </w:pPr>
            <w:r>
              <w:t>$20 million</w:t>
            </w:r>
          </w:p>
        </w:tc>
      </w:tr>
      <w:tr w:rsidR="000927CB" w:rsidRPr="000540E1" w14:paraId="06E6146A" w14:textId="77777777" w:rsidTr="00515747">
        <w:trPr>
          <w:cantSplit/>
        </w:trPr>
        <w:tc>
          <w:tcPr>
            <w:tcW w:w="3722" w:type="pct"/>
          </w:tcPr>
          <w:p w14:paraId="06E61468" w14:textId="77777777" w:rsidR="000927CB" w:rsidRPr="000540E1" w:rsidRDefault="000927CB" w:rsidP="00515747">
            <w:pPr>
              <w:pStyle w:val="tbltext"/>
            </w:pPr>
            <w:r>
              <w:t>If the fee is estimated to be $1,000,000 or more but less than $2,500,000</w:t>
            </w:r>
          </w:p>
        </w:tc>
        <w:tc>
          <w:tcPr>
            <w:tcW w:w="1278" w:type="pct"/>
          </w:tcPr>
          <w:p w14:paraId="06E61469" w14:textId="77777777" w:rsidR="000927CB" w:rsidRPr="000540E1" w:rsidRDefault="000927CB" w:rsidP="00515747">
            <w:pPr>
              <w:pStyle w:val="tbltext"/>
              <w:ind w:left="743"/>
            </w:pPr>
            <w:r>
              <w:t>$50 million</w:t>
            </w:r>
          </w:p>
        </w:tc>
      </w:tr>
      <w:tr w:rsidR="000927CB" w:rsidRPr="000540E1" w14:paraId="06E6146D" w14:textId="77777777" w:rsidTr="00515747">
        <w:trPr>
          <w:cantSplit/>
        </w:trPr>
        <w:tc>
          <w:tcPr>
            <w:tcW w:w="3722" w:type="pct"/>
          </w:tcPr>
          <w:p w14:paraId="06E6146B" w14:textId="77777777" w:rsidR="000927CB" w:rsidRDefault="000927CB" w:rsidP="00515747">
            <w:pPr>
              <w:pStyle w:val="tbltext"/>
            </w:pPr>
            <w:r>
              <w:t>If the fee is estimated to be $2,500,000 or more</w:t>
            </w:r>
          </w:p>
        </w:tc>
        <w:tc>
          <w:tcPr>
            <w:tcW w:w="1278" w:type="pct"/>
          </w:tcPr>
          <w:p w14:paraId="06E6146C" w14:textId="77777777" w:rsidR="000927CB" w:rsidRDefault="000927CB" w:rsidP="00515747">
            <w:pPr>
              <w:pStyle w:val="tbltext"/>
              <w:ind w:left="743"/>
            </w:pPr>
            <w:r>
              <w:t>$75 million</w:t>
            </w:r>
          </w:p>
        </w:tc>
      </w:tr>
    </w:tbl>
    <w:p w14:paraId="06E6146E" w14:textId="77777777" w:rsidR="0067744F" w:rsidRPr="0067744F" w:rsidRDefault="0067744F" w:rsidP="000927CB">
      <w:pPr>
        <w:pStyle w:val="Bodytextplain"/>
        <w:ind w:left="3119"/>
      </w:pPr>
    </w:p>
    <w:sectPr w:rsidR="0067744F" w:rsidRPr="0067744F">
      <w:headerReference w:type="even" r:id="rId10"/>
      <w:headerReference w:type="default" r:id="rId11"/>
      <w:footerReference w:type="even" r:id="rId12"/>
      <w:footerReference w:type="default" r:id="rId13"/>
      <w:headerReference w:type="first" r:id="rId14"/>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1472" w14:textId="77777777" w:rsidR="00076832" w:rsidRDefault="00076832">
      <w:r>
        <w:separator/>
      </w:r>
    </w:p>
  </w:endnote>
  <w:endnote w:type="continuationSeparator" w:id="0">
    <w:p w14:paraId="06E61473" w14:textId="77777777" w:rsidR="00076832" w:rsidRDefault="0007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1477"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6E61478" w14:textId="77777777" w:rsidR="00495B6B" w:rsidRDefault="00495B6B">
    <w:pPr>
      <w:pStyle w:val="Footer"/>
      <w:ind w:right="360"/>
    </w:pPr>
  </w:p>
  <w:p w14:paraId="06E61479" w14:textId="77777777" w:rsidR="00495B6B" w:rsidRDefault="00495B6B"/>
  <w:p w14:paraId="06E6147A" w14:textId="77777777" w:rsidR="00495B6B" w:rsidRDefault="00495B6B"/>
  <w:p w14:paraId="06E6147B" w14:textId="77777777" w:rsidR="00495B6B" w:rsidRDefault="00495B6B"/>
  <w:p w14:paraId="06E6147C"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147D" w14:textId="70E7E59F"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4A21FA">
      <w:rPr>
        <w:color w:val="117DC7"/>
      </w:rPr>
      <w:t>June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4A21FA">
      <w:rPr>
        <w:rStyle w:val="PageNumber"/>
        <w:noProof/>
        <w:color w:val="117DC7"/>
        <w:sz w:val="16"/>
      </w:rPr>
      <w:t>5</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1470" w14:textId="77777777" w:rsidR="00076832" w:rsidRDefault="00076832">
      <w:r>
        <w:separator/>
      </w:r>
    </w:p>
  </w:footnote>
  <w:footnote w:type="continuationSeparator" w:id="0">
    <w:p w14:paraId="06E61471" w14:textId="77777777" w:rsidR="00076832" w:rsidRDefault="0007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1474" w14:textId="77777777" w:rsidR="00495B6B" w:rsidRDefault="00495B6B"/>
  <w:p w14:paraId="06E61475"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1476" w14:textId="357CFB6B" w:rsidR="00495B6B" w:rsidRDefault="00495B6B">
    <w:pPr>
      <w:pStyle w:val="Footer"/>
      <w:pBdr>
        <w:bottom w:val="single" w:sz="4" w:space="1" w:color="117DC7"/>
      </w:pBdr>
      <w:jc w:val="right"/>
      <w:rPr>
        <w:color w:val="117DC7"/>
      </w:rPr>
    </w:pPr>
    <w:r w:rsidRPr="000556BB">
      <w:rPr>
        <w:smallCaps/>
        <w:color w:val="117DC7"/>
      </w:rPr>
      <w:tab/>
    </w:r>
    <w:r w:rsidR="004A21FA">
      <w:rPr>
        <w:caps/>
        <w:color w:val="117DC7"/>
      </w:rPr>
      <w:t>Pro Forma</w:t>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4A21FA">
      <w:rPr>
        <w:smallCaps/>
        <w:color w:val="117DC7"/>
      </w:rPr>
      <w:t>216</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4A21FA">
      <w:rPr>
        <w:color w:val="117DC7"/>
      </w:rPr>
      <w:t>Authorised audit company registration conditions</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147E"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8DB36"/>
    <w:lvl w:ilvl="0">
      <w:start w:val="1"/>
      <w:numFmt w:val="decimal"/>
      <w:lvlText w:val="%1."/>
      <w:lvlJc w:val="left"/>
      <w:pPr>
        <w:tabs>
          <w:tab w:val="num" w:pos="1492"/>
        </w:tabs>
        <w:ind w:left="1492" w:hanging="360"/>
      </w:pPr>
    </w:lvl>
  </w:abstractNum>
  <w:abstractNum w:abstractNumId="1">
    <w:nsid w:val="FFFFFF7D"/>
    <w:multiLevelType w:val="singleLevel"/>
    <w:tmpl w:val="02A86532"/>
    <w:lvl w:ilvl="0">
      <w:start w:val="1"/>
      <w:numFmt w:val="decimal"/>
      <w:lvlText w:val="%1."/>
      <w:lvlJc w:val="left"/>
      <w:pPr>
        <w:tabs>
          <w:tab w:val="num" w:pos="1209"/>
        </w:tabs>
        <w:ind w:left="1209" w:hanging="360"/>
      </w:pPr>
    </w:lvl>
  </w:abstractNum>
  <w:abstractNum w:abstractNumId="2">
    <w:nsid w:val="FFFFFF7E"/>
    <w:multiLevelType w:val="singleLevel"/>
    <w:tmpl w:val="6A0EF8DA"/>
    <w:lvl w:ilvl="0">
      <w:start w:val="1"/>
      <w:numFmt w:val="decimal"/>
      <w:lvlText w:val="%1."/>
      <w:lvlJc w:val="left"/>
      <w:pPr>
        <w:tabs>
          <w:tab w:val="num" w:pos="926"/>
        </w:tabs>
        <w:ind w:left="926" w:hanging="360"/>
      </w:pPr>
    </w:lvl>
  </w:abstractNum>
  <w:abstractNum w:abstractNumId="3">
    <w:nsid w:val="FFFFFF7F"/>
    <w:multiLevelType w:val="singleLevel"/>
    <w:tmpl w:val="60C62094"/>
    <w:lvl w:ilvl="0">
      <w:start w:val="1"/>
      <w:numFmt w:val="decimal"/>
      <w:lvlText w:val="%1."/>
      <w:lvlJc w:val="left"/>
      <w:pPr>
        <w:tabs>
          <w:tab w:val="num" w:pos="643"/>
        </w:tabs>
        <w:ind w:left="643" w:hanging="360"/>
      </w:pPr>
    </w:lvl>
  </w:abstractNum>
  <w:abstractNum w:abstractNumId="4">
    <w:nsid w:val="FFFFFF80"/>
    <w:multiLevelType w:val="singleLevel"/>
    <w:tmpl w:val="65BE8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801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AEB036"/>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7FE2BCA"/>
    <w:lvl w:ilvl="0">
      <w:start w:val="1"/>
      <w:numFmt w:val="decimal"/>
      <w:lvlText w:val="%1."/>
      <w:lvlJc w:val="left"/>
      <w:pPr>
        <w:tabs>
          <w:tab w:val="num" w:pos="360"/>
        </w:tabs>
        <w:ind w:left="360" w:hanging="360"/>
      </w:pPr>
    </w:lvl>
  </w:abstractNum>
  <w:abstractNum w:abstractNumId="8">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1">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283D54D1"/>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B701827"/>
    <w:multiLevelType w:val="multilevel"/>
    <w:tmpl w:val="993402A8"/>
    <w:lvl w:ilvl="0">
      <w:start w:val="1"/>
      <w:numFmt w:val="decimal"/>
      <w:lvlText w:val="%1."/>
      <w:lvlJc w:val="left"/>
      <w:pPr>
        <w:tabs>
          <w:tab w:val="num" w:pos="2693"/>
        </w:tabs>
        <w:ind w:left="425" w:firstLine="1843"/>
      </w:pPr>
      <w:rPr>
        <w:rFonts w:hint="default"/>
      </w:rPr>
    </w:lvl>
    <w:lvl w:ilvl="1">
      <w:start w:val="1"/>
      <w:numFmt w:val="decimal"/>
      <w:lvlText w:val="%1.%2."/>
      <w:lvlJc w:val="left"/>
      <w:pPr>
        <w:tabs>
          <w:tab w:val="num" w:pos="2693"/>
        </w:tabs>
        <w:ind w:left="2693" w:hanging="425"/>
      </w:pPr>
      <w:rPr>
        <w:rFonts w:hint="default"/>
      </w:rPr>
    </w:lvl>
    <w:lvl w:ilvl="2">
      <w:start w:val="1"/>
      <w:numFmt w:val="lowerLetter"/>
      <w:lvlText w:val="(%3)"/>
      <w:lvlJc w:val="left"/>
      <w:pPr>
        <w:tabs>
          <w:tab w:val="num" w:pos="3147"/>
        </w:tabs>
        <w:ind w:left="3119" w:hanging="426"/>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1C725C"/>
    <w:multiLevelType w:val="hybridMultilevel"/>
    <w:tmpl w:val="43CAF6BC"/>
    <w:lvl w:ilvl="0" w:tplc="83C6E290">
      <w:start w:val="1"/>
      <w:numFmt w:val="decimal"/>
      <w:lvlText w:val="%1."/>
      <w:lvlJc w:val="left"/>
      <w:pPr>
        <w:ind w:left="2703" w:hanging="435"/>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8">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9">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602145"/>
    <w:multiLevelType w:val="hybridMultilevel"/>
    <w:tmpl w:val="220ED4C4"/>
    <w:lvl w:ilvl="0" w:tplc="AA5C0926">
      <w:start w:val="1"/>
      <w:numFmt w:val="decimal"/>
      <w:lvlText w:val="2.%1"/>
      <w:lvlJc w:val="left"/>
      <w:pPr>
        <w:ind w:left="2988" w:hanging="360"/>
      </w:pPr>
      <w:rPr>
        <w:rFonts w:hint="default"/>
      </w:rPr>
    </w:lvl>
    <w:lvl w:ilvl="1" w:tplc="0C090019">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1">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18022F"/>
    <w:multiLevelType w:val="multilevel"/>
    <w:tmpl w:val="22C8AD44"/>
    <w:name w:val="ASIC proposal"/>
    <w:lvl w:ilvl="0">
      <w:start w:val="1"/>
      <w:numFmt w:val="decimal"/>
      <w:pStyle w:val="ProFormaH1"/>
      <w:lvlText w:val="%1."/>
      <w:lvlJc w:val="left"/>
      <w:pPr>
        <w:tabs>
          <w:tab w:val="num" w:pos="2693"/>
        </w:tabs>
        <w:ind w:left="425" w:firstLine="1843"/>
      </w:pPr>
      <w:rPr>
        <w:rFonts w:hint="default"/>
        <w:b/>
        <w:i w:val="0"/>
        <w:color w:val="000000" w:themeColor="text1"/>
        <w:sz w:val="24"/>
        <w:szCs w:val="24"/>
      </w:rPr>
    </w:lvl>
    <w:lvl w:ilvl="1">
      <w:start w:val="1"/>
      <w:numFmt w:val="decimal"/>
      <w:pStyle w:val="ProFormapara"/>
      <w:lvlText w:val="%1.%2."/>
      <w:lvlJc w:val="left"/>
      <w:pPr>
        <w:tabs>
          <w:tab w:val="num" w:pos="2693"/>
        </w:tabs>
        <w:ind w:left="2693" w:hanging="425"/>
      </w:pPr>
      <w:rPr>
        <w:rFonts w:ascii="Times New Roman" w:hAnsi="Times New Roman" w:hint="default"/>
        <w:b w:val="0"/>
        <w:i w:val="0"/>
        <w:color w:val="auto"/>
        <w:sz w:val="22"/>
        <w:szCs w:val="16"/>
      </w:rPr>
    </w:lvl>
    <w:lvl w:ilvl="2">
      <w:start w:val="1"/>
      <w:numFmt w:val="lowerLetter"/>
      <w:lvlText w:val="(%3)"/>
      <w:lvlJc w:val="left"/>
      <w:pPr>
        <w:tabs>
          <w:tab w:val="num" w:pos="3147"/>
        </w:tabs>
        <w:ind w:left="3119" w:hanging="426"/>
      </w:pPr>
      <w:rPr>
        <w:rFonts w:hint="default"/>
        <w:b w:val="0"/>
        <w:bCs w:val="0"/>
        <w:i w:val="0"/>
        <w:iCs w:val="0"/>
        <w:caps w:val="0"/>
        <w:strike w:val="0"/>
        <w:dstrike w:val="0"/>
        <w:outline w:val="0"/>
        <w:shadow w:val="0"/>
        <w:emboss w:val="0"/>
        <w:imprint w:val="0"/>
        <w:vanish w:val="0"/>
        <w:color w:val="auto"/>
        <w:spacing w:val="0"/>
        <w:kern w:val="0"/>
        <w:position w:val="0"/>
        <w:sz w:val="20"/>
        <w:szCs w:val="16"/>
        <w:u w:val="none"/>
        <w:vertAlign w:val="baseline"/>
        <w:em w:val="none"/>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sz w:val="16"/>
        <w:szCs w:val="16"/>
      </w:rPr>
    </w:lvl>
    <w:lvl w:ilvl="5">
      <w:start w:val="1"/>
      <w:numFmt w:val="decimal"/>
      <w:lvlText w:val="%1.%2.%3.%4.%5.%6."/>
      <w:lvlJc w:val="left"/>
      <w:pPr>
        <w:ind w:left="2736" w:hanging="936"/>
      </w:pPr>
      <w:rPr>
        <w:rFonts w:hint="default"/>
        <w:sz w:val="16"/>
        <w:szCs w:val="16"/>
      </w:rPr>
    </w:lvl>
    <w:lvl w:ilvl="6">
      <w:start w:val="1"/>
      <w:numFmt w:val="decimal"/>
      <w:lvlText w:val="%1.%2.%3.%4.%5.%6.%7."/>
      <w:lvlJc w:val="left"/>
      <w:pPr>
        <w:ind w:left="3240" w:hanging="1080"/>
      </w:pPr>
      <w:rPr>
        <w:rFonts w:hint="default"/>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6">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4"/>
  </w:num>
  <w:num w:numId="4">
    <w:abstractNumId w:val="9"/>
  </w:num>
  <w:num w:numId="5">
    <w:abstractNumId w:val="23"/>
  </w:num>
  <w:num w:numId="6">
    <w:abstractNumId w:val="13"/>
  </w:num>
  <w:num w:numId="7">
    <w:abstractNumId w:val="26"/>
  </w:num>
  <w:num w:numId="8">
    <w:abstractNumId w:val="19"/>
  </w:num>
  <w:num w:numId="9">
    <w:abstractNumId w:val="21"/>
  </w:num>
  <w:num w:numId="10">
    <w:abstractNumId w:val="8"/>
  </w:num>
  <w:num w:numId="11">
    <w:abstractNumId w:val="11"/>
  </w:num>
  <w:num w:numId="12">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0"/>
  </w:num>
  <w:num w:numId="24">
    <w:abstractNumId w:val="11"/>
  </w:num>
  <w:num w:numId="25">
    <w:abstractNumId w:val="14"/>
  </w:num>
  <w:num w:numId="26">
    <w:abstractNumId w:val="22"/>
  </w:num>
  <w:num w:numId="27">
    <w:abstractNumId w:val="20"/>
  </w:num>
  <w:num w:numId="28">
    <w:abstractNumId w:val="15"/>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 w:ilvl="0">
        <w:start w:val="1"/>
        <w:numFmt w:val="decimal"/>
        <w:lvlText w:val="%1."/>
        <w:lvlJc w:val="left"/>
        <w:pPr>
          <w:tabs>
            <w:tab w:val="num" w:pos="2693"/>
          </w:tabs>
          <w:ind w:left="425" w:firstLine="1843"/>
        </w:pPr>
        <w:rPr>
          <w:rFonts w:hint="default"/>
        </w:rPr>
      </w:lvl>
    </w:lvlOverride>
    <w:lvlOverride w:ilvl="1">
      <w:lvl w:ilvl="1">
        <w:start w:val="1"/>
        <w:numFmt w:val="decimal"/>
        <w:lvlText w:val="%1.%2."/>
        <w:lvlJc w:val="left"/>
        <w:pPr>
          <w:tabs>
            <w:tab w:val="num" w:pos="2693"/>
          </w:tabs>
          <w:ind w:left="2693" w:hanging="425"/>
        </w:pPr>
        <w:rPr>
          <w:rFonts w:hint="default"/>
        </w:rPr>
      </w:lvl>
    </w:lvlOverride>
    <w:lvlOverride w:ilvl="2">
      <w:lvl w:ilvl="2">
        <w:start w:val="1"/>
        <w:numFmt w:val="lowerLetter"/>
        <w:lvlText w:val="(%3)"/>
        <w:lvlJc w:val="left"/>
        <w:pPr>
          <w:tabs>
            <w:tab w:val="num" w:pos="3147"/>
          </w:tabs>
          <w:ind w:left="3119" w:hanging="426"/>
        </w:pPr>
        <w:rPr>
          <w:rFonts w:hint="default"/>
          <w:sz w:val="20"/>
        </w:rPr>
      </w:lvl>
    </w:lvlOverride>
    <w:lvlOverride w:ilvl="3">
      <w:lvl w:ilvl="3">
        <w:start w:val="1"/>
        <w:numFmt w:val="lowerRoman"/>
        <w:lvlText w:val="%4."/>
        <w:lvlJc w:val="left"/>
        <w:pPr>
          <w:tabs>
            <w:tab w:val="num" w:pos="3544"/>
          </w:tabs>
          <w:ind w:left="3544" w:hanging="425"/>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5"/>
    <w:lvlOverride w:ilvl="0">
      <w:lvl w:ilvl="0">
        <w:start w:val="1"/>
        <w:numFmt w:val="decimal"/>
        <w:lvlText w:val="%1."/>
        <w:lvlJc w:val="left"/>
        <w:pPr>
          <w:tabs>
            <w:tab w:val="num" w:pos="2693"/>
          </w:tabs>
          <w:ind w:left="425" w:firstLine="1843"/>
        </w:pPr>
        <w:rPr>
          <w:rFonts w:hint="default"/>
        </w:rPr>
      </w:lvl>
    </w:lvlOverride>
    <w:lvlOverride w:ilvl="1">
      <w:lvl w:ilvl="1">
        <w:start w:val="1"/>
        <w:numFmt w:val="decimal"/>
        <w:lvlText w:val="%1.%2."/>
        <w:lvlJc w:val="left"/>
        <w:pPr>
          <w:tabs>
            <w:tab w:val="num" w:pos="2693"/>
          </w:tabs>
          <w:ind w:left="2693" w:hanging="425"/>
        </w:pPr>
        <w:rPr>
          <w:rFonts w:hint="default"/>
        </w:rPr>
      </w:lvl>
    </w:lvlOverride>
    <w:lvlOverride w:ilvl="2">
      <w:lvl w:ilvl="2">
        <w:start w:val="1"/>
        <w:numFmt w:val="lowerLetter"/>
        <w:lvlText w:val="(%3)"/>
        <w:lvlJc w:val="left"/>
        <w:pPr>
          <w:tabs>
            <w:tab w:val="num" w:pos="3147"/>
          </w:tabs>
          <w:ind w:left="3119" w:hanging="426"/>
        </w:pPr>
        <w:rPr>
          <w:rFonts w:hint="default"/>
          <w:sz w:val="20"/>
        </w:rPr>
      </w:lvl>
    </w:lvlOverride>
    <w:lvlOverride w:ilvl="3">
      <w:lvl w:ilvl="3">
        <w:start w:val="1"/>
        <w:numFmt w:val="lowerRoman"/>
        <w:lvlText w:val="(%4)"/>
        <w:lvlJc w:val="left"/>
        <w:pPr>
          <w:tabs>
            <w:tab w:val="num" w:pos="3544"/>
          </w:tabs>
          <w:ind w:left="3544" w:hanging="425"/>
        </w:pPr>
        <w:rPr>
          <w:rFonts w:hint="default"/>
          <w:sz w:val="2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2252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11023"/>
    <w:rsid w:val="000210F7"/>
    <w:rsid w:val="00027CFD"/>
    <w:rsid w:val="000556BB"/>
    <w:rsid w:val="000559FF"/>
    <w:rsid w:val="00056508"/>
    <w:rsid w:val="00076832"/>
    <w:rsid w:val="000927CB"/>
    <w:rsid w:val="000941C7"/>
    <w:rsid w:val="000F1A2C"/>
    <w:rsid w:val="000F3ACE"/>
    <w:rsid w:val="001252F8"/>
    <w:rsid w:val="00126E4F"/>
    <w:rsid w:val="00133DFB"/>
    <w:rsid w:val="0014451A"/>
    <w:rsid w:val="0016120E"/>
    <w:rsid w:val="0016746E"/>
    <w:rsid w:val="00176816"/>
    <w:rsid w:val="00195B7D"/>
    <w:rsid w:val="00197C49"/>
    <w:rsid w:val="001A451E"/>
    <w:rsid w:val="001B45B3"/>
    <w:rsid w:val="001C5C47"/>
    <w:rsid w:val="001D4CEA"/>
    <w:rsid w:val="001E17DD"/>
    <w:rsid w:val="001F6BE7"/>
    <w:rsid w:val="002105FE"/>
    <w:rsid w:val="00211EFE"/>
    <w:rsid w:val="0021701F"/>
    <w:rsid w:val="002248C7"/>
    <w:rsid w:val="00255E99"/>
    <w:rsid w:val="00266059"/>
    <w:rsid w:val="00280C94"/>
    <w:rsid w:val="00280FC3"/>
    <w:rsid w:val="002A6EED"/>
    <w:rsid w:val="002A78EF"/>
    <w:rsid w:val="002D7626"/>
    <w:rsid w:val="00310FEF"/>
    <w:rsid w:val="00322883"/>
    <w:rsid w:val="003261CA"/>
    <w:rsid w:val="00361825"/>
    <w:rsid w:val="00376E90"/>
    <w:rsid w:val="00382E02"/>
    <w:rsid w:val="00384A43"/>
    <w:rsid w:val="003C18AF"/>
    <w:rsid w:val="003C51CF"/>
    <w:rsid w:val="003E58EF"/>
    <w:rsid w:val="003F3FDF"/>
    <w:rsid w:val="00423DF7"/>
    <w:rsid w:val="00447A20"/>
    <w:rsid w:val="00495B6B"/>
    <w:rsid w:val="004A21FA"/>
    <w:rsid w:val="004B6AD2"/>
    <w:rsid w:val="004D0889"/>
    <w:rsid w:val="004E04F5"/>
    <w:rsid w:val="005174EA"/>
    <w:rsid w:val="0052782D"/>
    <w:rsid w:val="0056176E"/>
    <w:rsid w:val="005B5A7B"/>
    <w:rsid w:val="005C3926"/>
    <w:rsid w:val="005C4D06"/>
    <w:rsid w:val="00660C9E"/>
    <w:rsid w:val="0067744F"/>
    <w:rsid w:val="00696151"/>
    <w:rsid w:val="006B366D"/>
    <w:rsid w:val="006D4136"/>
    <w:rsid w:val="006E267B"/>
    <w:rsid w:val="007253D2"/>
    <w:rsid w:val="00734901"/>
    <w:rsid w:val="00770A6D"/>
    <w:rsid w:val="00774DE0"/>
    <w:rsid w:val="0078694B"/>
    <w:rsid w:val="00797DAE"/>
    <w:rsid w:val="007A08FB"/>
    <w:rsid w:val="007A653D"/>
    <w:rsid w:val="007C58C9"/>
    <w:rsid w:val="007C65E2"/>
    <w:rsid w:val="007E1383"/>
    <w:rsid w:val="007E4DDF"/>
    <w:rsid w:val="007F2D37"/>
    <w:rsid w:val="008116C4"/>
    <w:rsid w:val="00821248"/>
    <w:rsid w:val="008213F4"/>
    <w:rsid w:val="00846B17"/>
    <w:rsid w:val="0085022F"/>
    <w:rsid w:val="00862229"/>
    <w:rsid w:val="00864787"/>
    <w:rsid w:val="00880D18"/>
    <w:rsid w:val="008E217F"/>
    <w:rsid w:val="008E5E90"/>
    <w:rsid w:val="00914C9B"/>
    <w:rsid w:val="009425E9"/>
    <w:rsid w:val="009753AF"/>
    <w:rsid w:val="0098352E"/>
    <w:rsid w:val="009E7D07"/>
    <w:rsid w:val="00A11055"/>
    <w:rsid w:val="00A127B8"/>
    <w:rsid w:val="00A15D3B"/>
    <w:rsid w:val="00A51DDB"/>
    <w:rsid w:val="00A73501"/>
    <w:rsid w:val="00A73BDC"/>
    <w:rsid w:val="00A85570"/>
    <w:rsid w:val="00AA450D"/>
    <w:rsid w:val="00AB1BD5"/>
    <w:rsid w:val="00AB5BEA"/>
    <w:rsid w:val="00AC6E16"/>
    <w:rsid w:val="00AD3C59"/>
    <w:rsid w:val="00AE2905"/>
    <w:rsid w:val="00AF06A8"/>
    <w:rsid w:val="00AF1E92"/>
    <w:rsid w:val="00B12104"/>
    <w:rsid w:val="00B17389"/>
    <w:rsid w:val="00B24C32"/>
    <w:rsid w:val="00B35570"/>
    <w:rsid w:val="00B41B33"/>
    <w:rsid w:val="00B6172E"/>
    <w:rsid w:val="00B66A8C"/>
    <w:rsid w:val="00B716EE"/>
    <w:rsid w:val="00B9570C"/>
    <w:rsid w:val="00BA4C49"/>
    <w:rsid w:val="00BC6E6F"/>
    <w:rsid w:val="00BD0035"/>
    <w:rsid w:val="00BD5EB6"/>
    <w:rsid w:val="00BE0212"/>
    <w:rsid w:val="00C113C1"/>
    <w:rsid w:val="00C17C5A"/>
    <w:rsid w:val="00C2577B"/>
    <w:rsid w:val="00C50B2C"/>
    <w:rsid w:val="00C518B6"/>
    <w:rsid w:val="00C76532"/>
    <w:rsid w:val="00C902F1"/>
    <w:rsid w:val="00C904C1"/>
    <w:rsid w:val="00C93AAF"/>
    <w:rsid w:val="00D24C31"/>
    <w:rsid w:val="00D25B9A"/>
    <w:rsid w:val="00D31570"/>
    <w:rsid w:val="00D4305D"/>
    <w:rsid w:val="00D62532"/>
    <w:rsid w:val="00D80462"/>
    <w:rsid w:val="00DD0F86"/>
    <w:rsid w:val="00DD293D"/>
    <w:rsid w:val="00DE1CAC"/>
    <w:rsid w:val="00DE6F00"/>
    <w:rsid w:val="00E07FF1"/>
    <w:rsid w:val="00E12013"/>
    <w:rsid w:val="00E17AF6"/>
    <w:rsid w:val="00E32AF4"/>
    <w:rsid w:val="00E335E2"/>
    <w:rsid w:val="00E430B1"/>
    <w:rsid w:val="00E547D2"/>
    <w:rsid w:val="00E60C11"/>
    <w:rsid w:val="00E613AE"/>
    <w:rsid w:val="00E65C20"/>
    <w:rsid w:val="00E66221"/>
    <w:rsid w:val="00EA558B"/>
    <w:rsid w:val="00EB6E1A"/>
    <w:rsid w:val="00EC4060"/>
    <w:rsid w:val="00ED11D7"/>
    <w:rsid w:val="00F0446F"/>
    <w:rsid w:val="00F17B60"/>
    <w:rsid w:val="00F20A78"/>
    <w:rsid w:val="00F307F8"/>
    <w:rsid w:val="00F319B7"/>
    <w:rsid w:val="00F6269F"/>
    <w:rsid w:val="00F674A6"/>
    <w:rsid w:val="00F852A1"/>
    <w:rsid w:val="00F928D6"/>
    <w:rsid w:val="00FC4577"/>
    <w:rsid w:val="00FF4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a8d0,#008eb0,#1492e8,#1287d6,#117dc7,#c2e3fa"/>
    </o:shapedefaults>
    <o:shapelayout v:ext="edit">
      <o:idmap v:ext="edit" data="1"/>
    </o:shapelayout>
  </w:shapeDefaults>
  <w:decimalSymbol w:val="."/>
  <w:listSeparator w:val=","/>
  <w14:docId w14:val="06E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FA"/>
    <w:pPr>
      <w:spacing w:after="240"/>
    </w:pPr>
    <w:rPr>
      <w:sz w:val="22"/>
    </w:rPr>
  </w:style>
  <w:style w:type="paragraph" w:styleId="Heading1">
    <w:name w:val="heading 1"/>
    <w:basedOn w:val="Normal"/>
    <w:next w:val="BodyText"/>
    <w:link w:val="Heading1Char"/>
    <w:qFormat/>
    <w:rsid w:val="004A21F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4A21F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4A21F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4A21F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4A21F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4A21F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4A21F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4A21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1FA"/>
  </w:style>
  <w:style w:type="paragraph" w:styleId="BodyText">
    <w:name w:val="Body Text"/>
    <w:basedOn w:val="Normal"/>
    <w:link w:val="BodyTextChar"/>
    <w:semiHidden/>
    <w:rsid w:val="004A21F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4A21FA"/>
    <w:pPr>
      <w:ind w:left="425"/>
    </w:pPr>
  </w:style>
  <w:style w:type="paragraph" w:styleId="Footer">
    <w:name w:val="footer"/>
    <w:basedOn w:val="Normal"/>
    <w:semiHidden/>
    <w:rsid w:val="004A21FA"/>
    <w:pPr>
      <w:tabs>
        <w:tab w:val="right" w:pos="9070"/>
      </w:tabs>
      <w:spacing w:after="0"/>
    </w:pPr>
    <w:rPr>
      <w:rFonts w:ascii="Arial" w:hAnsi="Arial"/>
      <w:sz w:val="16"/>
      <w:szCs w:val="16"/>
    </w:rPr>
  </w:style>
  <w:style w:type="character" w:styleId="PageNumber">
    <w:name w:val="page number"/>
    <w:basedOn w:val="DefaultParagraphFont"/>
    <w:rsid w:val="004A21FA"/>
    <w:rPr>
      <w:b/>
      <w:sz w:val="20"/>
    </w:rPr>
  </w:style>
  <w:style w:type="paragraph" w:styleId="Header">
    <w:name w:val="header"/>
    <w:basedOn w:val="Normal"/>
    <w:semiHidden/>
    <w:rsid w:val="004A21F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4A21F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4A21FA"/>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4A21FA"/>
    <w:pPr>
      <w:ind w:left="3260"/>
    </w:pPr>
  </w:style>
  <w:style w:type="paragraph" w:customStyle="1" w:styleId="figuretitlefullwidth">
    <w:name w:val="figure title full width"/>
    <w:basedOn w:val="tabletitlefullwidth"/>
    <w:next w:val="figuretext"/>
    <w:rsid w:val="004A21FA"/>
    <w:rPr>
      <w:szCs w:val="22"/>
    </w:rPr>
  </w:style>
  <w:style w:type="paragraph" w:customStyle="1" w:styleId="tabletitlefullwidth">
    <w:name w:val="table title full width"/>
    <w:basedOn w:val="Normal"/>
    <w:rsid w:val="004A21F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4A21FA"/>
    <w:pPr>
      <w:widowControl w:val="0"/>
      <w:spacing w:after="0" w:line="240" w:lineRule="atLeast"/>
    </w:pPr>
    <w:rPr>
      <w:rFonts w:ascii="Arial" w:hAnsi="Arial" w:cs="Arial"/>
      <w:sz w:val="18"/>
      <w:szCs w:val="18"/>
    </w:rPr>
  </w:style>
  <w:style w:type="paragraph" w:customStyle="1" w:styleId="tbltext">
    <w:name w:val="tbl text"/>
    <w:basedOn w:val="Bodytextplain"/>
    <w:rsid w:val="004A21FA"/>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4A21FA"/>
    <w:pPr>
      <w:numPr>
        <w:numId w:val="0"/>
      </w:numPr>
      <w:ind w:left="2268"/>
    </w:pPr>
  </w:style>
  <w:style w:type="paragraph" w:customStyle="1" w:styleId="tablehead">
    <w:name w:val="table head"/>
    <w:basedOn w:val="Normal"/>
    <w:rsid w:val="004A21FA"/>
    <w:pPr>
      <w:keepNext/>
      <w:spacing w:before="120" w:after="0" w:line="240" w:lineRule="atLeast"/>
    </w:pPr>
    <w:rPr>
      <w:rFonts w:ascii="Arial" w:hAnsi="Arial" w:cs="Arial"/>
      <w:b/>
      <w:sz w:val="18"/>
      <w:szCs w:val="18"/>
    </w:rPr>
  </w:style>
  <w:style w:type="paragraph" w:styleId="ListBullet2">
    <w:name w:val="List Bullet 2"/>
    <w:basedOn w:val="Normal"/>
    <w:rsid w:val="004A21F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4A21FA"/>
    <w:rPr>
      <w:color w:val="0000FF"/>
      <w:u w:val="single"/>
    </w:rPr>
  </w:style>
  <w:style w:type="paragraph" w:customStyle="1" w:styleId="tablebullet">
    <w:name w:val="table bullet"/>
    <w:basedOn w:val="Normal"/>
    <w:rsid w:val="004A21F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4A21FA"/>
    <w:pPr>
      <w:spacing w:after="0"/>
    </w:pPr>
    <w:rPr>
      <w:sz w:val="18"/>
    </w:rPr>
  </w:style>
  <w:style w:type="character" w:styleId="FootnoteReference">
    <w:name w:val="footnote reference"/>
    <w:basedOn w:val="DefaultParagraphFont"/>
    <w:semiHidden/>
    <w:rsid w:val="004A21FA"/>
    <w:rPr>
      <w:vertAlign w:val="superscript"/>
    </w:rPr>
  </w:style>
  <w:style w:type="paragraph" w:styleId="TOC1">
    <w:name w:val="toc 1"/>
    <w:basedOn w:val="Normal"/>
    <w:next w:val="Normal"/>
    <w:autoRedefine/>
    <w:semiHidden/>
    <w:rsid w:val="004A21F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4A21F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4A21F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4A21F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style>
  <w:style w:type="paragraph" w:customStyle="1" w:styleId="tabletitleindented">
    <w:name w:val="table title indented"/>
    <w:basedOn w:val="tabletitlefullwidth"/>
    <w:rsid w:val="004A21FA"/>
    <w:pPr>
      <w:ind w:left="3260"/>
    </w:pPr>
  </w:style>
  <w:style w:type="paragraph" w:styleId="Caption">
    <w:name w:val="caption"/>
    <w:basedOn w:val="Normal"/>
    <w:next w:val="Normal"/>
    <w:qFormat/>
    <w:rsid w:val="004A21FA"/>
    <w:pPr>
      <w:spacing w:before="120" w:after="120"/>
    </w:pPr>
    <w:rPr>
      <w:b/>
      <w:bCs/>
      <w:sz w:val="20"/>
    </w:rPr>
  </w:style>
  <w:style w:type="paragraph" w:customStyle="1" w:styleId="tabledash">
    <w:name w:val="table dash"/>
    <w:basedOn w:val="tablebullet"/>
    <w:rsid w:val="004A21FA"/>
    <w:pPr>
      <w:numPr>
        <w:numId w:val="4"/>
      </w:numPr>
    </w:pPr>
  </w:style>
  <w:style w:type="paragraph" w:customStyle="1" w:styleId="Tablebody">
    <w:name w:val="Table body"/>
    <w:basedOn w:val="Normal"/>
    <w:semiHidden/>
    <w:rsid w:val="004A21F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4A21F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4A21F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4A21F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4A21FA"/>
    <w:pPr>
      <w:numPr>
        <w:numId w:val="5"/>
      </w:numPr>
      <w:tabs>
        <w:tab w:val="clear" w:pos="2807"/>
        <w:tab w:val="left" w:pos="2665"/>
      </w:tabs>
      <w:spacing w:before="100"/>
      <w:ind w:left="2665" w:hanging="284"/>
    </w:pPr>
  </w:style>
  <w:style w:type="paragraph" w:customStyle="1" w:styleId="Note">
    <w:name w:val="Note"/>
    <w:basedOn w:val="BodyText"/>
    <w:next w:val="BodyText"/>
    <w:rsid w:val="004A21FA"/>
    <w:pPr>
      <w:numPr>
        <w:numId w:val="0"/>
      </w:numPr>
      <w:spacing w:line="240" w:lineRule="atLeast"/>
      <w:ind w:left="2693"/>
    </w:pPr>
    <w:rPr>
      <w:sz w:val="18"/>
    </w:rPr>
  </w:style>
  <w:style w:type="paragraph" w:customStyle="1" w:styleId="subparaa">
    <w:name w:val="sub para (a)"/>
    <w:basedOn w:val="BodyText"/>
    <w:rsid w:val="004A21F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4A21F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4A21F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4A21F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4A21FA"/>
    <w:pPr>
      <w:numPr>
        <w:ilvl w:val="2"/>
      </w:numPr>
    </w:pPr>
  </w:style>
  <w:style w:type="paragraph" w:customStyle="1" w:styleId="DescriptorRG">
    <w:name w:val="Descriptor RG"/>
    <w:basedOn w:val="Normal"/>
    <w:next w:val="Normal"/>
    <w:rsid w:val="004A21F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4A21F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4A21FA"/>
    <w:pPr>
      <w:spacing w:line="260" w:lineRule="atLeast"/>
    </w:pPr>
    <w:rPr>
      <w:rFonts w:ascii="Arial" w:hAnsi="Arial" w:cs="Arial"/>
      <w:sz w:val="20"/>
      <w:szCs w:val="20"/>
    </w:rPr>
  </w:style>
  <w:style w:type="paragraph" w:customStyle="1" w:styleId="Frontbullet">
    <w:name w:val="Front bullet"/>
    <w:basedOn w:val="Fronttext"/>
    <w:rsid w:val="004A21FA"/>
    <w:pPr>
      <w:numPr>
        <w:ilvl w:val="5"/>
        <w:numId w:val="8"/>
      </w:numPr>
      <w:spacing w:before="120"/>
    </w:pPr>
  </w:style>
  <w:style w:type="paragraph" w:customStyle="1" w:styleId="Frontheading">
    <w:name w:val="Front heading"/>
    <w:basedOn w:val="Heading3"/>
    <w:next w:val="Fronttext"/>
    <w:rsid w:val="004A21FA"/>
  </w:style>
  <w:style w:type="paragraph" w:customStyle="1" w:styleId="Blockquote">
    <w:name w:val="Block quote"/>
    <w:basedOn w:val="Bodytextplain"/>
    <w:rsid w:val="004A21F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4A21F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4A21F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4A21FA"/>
    <w:pPr>
      <w:numPr>
        <w:ilvl w:val="2"/>
      </w:numPr>
      <w:spacing w:before="100"/>
    </w:pPr>
  </w:style>
  <w:style w:type="paragraph" w:customStyle="1" w:styleId="Proposalsubsubpara">
    <w:name w:val="Proposal sub sub para"/>
    <w:basedOn w:val="Proposaltext"/>
    <w:rsid w:val="004A21FA"/>
    <w:pPr>
      <w:numPr>
        <w:ilvl w:val="3"/>
      </w:numPr>
      <w:spacing w:before="100"/>
    </w:pPr>
  </w:style>
  <w:style w:type="paragraph" w:customStyle="1" w:styleId="Proposalnote">
    <w:name w:val="Proposal note"/>
    <w:basedOn w:val="Note"/>
    <w:rsid w:val="004A21FA"/>
    <w:pPr>
      <w:spacing w:before="100"/>
      <w:ind w:left="3119"/>
    </w:pPr>
    <w:rPr>
      <w:rFonts w:ascii="Arial" w:hAnsi="Arial" w:cs="Arial"/>
      <w:sz w:val="16"/>
      <w:szCs w:val="16"/>
    </w:rPr>
  </w:style>
  <w:style w:type="character" w:styleId="CommentReference">
    <w:name w:val="annotation reference"/>
    <w:basedOn w:val="DefaultParagraphFont"/>
    <w:semiHidden/>
    <w:rsid w:val="004A21FA"/>
    <w:rPr>
      <w:sz w:val="16"/>
      <w:szCs w:val="16"/>
    </w:rPr>
  </w:style>
  <w:style w:type="paragraph" w:styleId="CommentText">
    <w:name w:val="annotation text"/>
    <w:basedOn w:val="Normal"/>
    <w:link w:val="CommentTextChar"/>
    <w:semiHidden/>
    <w:rsid w:val="004A21F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4A21FA"/>
    <w:rPr>
      <w:rFonts w:ascii="Tahoma" w:hAnsi="Tahoma" w:cs="Tahoma"/>
      <w:sz w:val="16"/>
      <w:szCs w:val="16"/>
    </w:rPr>
  </w:style>
  <w:style w:type="paragraph" w:customStyle="1" w:styleId="boxbullet">
    <w:name w:val="box bullet"/>
    <w:basedOn w:val="Frontbullet"/>
    <w:rsid w:val="004A21FA"/>
    <w:pPr>
      <w:numPr>
        <w:ilvl w:val="0"/>
        <w:numId w:val="10"/>
      </w:numPr>
      <w:spacing w:before="60"/>
    </w:pPr>
  </w:style>
  <w:style w:type="paragraph" w:customStyle="1" w:styleId="boxtext">
    <w:name w:val="box text"/>
    <w:basedOn w:val="Fronttext"/>
    <w:rsid w:val="004A21FA"/>
    <w:pPr>
      <w:spacing w:before="120"/>
      <w:ind w:left="0"/>
    </w:pPr>
  </w:style>
  <w:style w:type="paragraph" w:customStyle="1" w:styleId="sub3paraA">
    <w:name w:val="sub3para (A)"/>
    <w:basedOn w:val="subsubparai"/>
    <w:qFormat/>
    <w:rsid w:val="004A21F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4A21F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4A21FA"/>
    <w:pPr>
      <w:spacing w:before="120"/>
    </w:pPr>
    <w:rPr>
      <w:rFonts w:ascii="Arial" w:hAnsi="Arial"/>
      <w:sz w:val="16"/>
      <w:szCs w:val="22"/>
    </w:rPr>
  </w:style>
  <w:style w:type="paragraph" w:customStyle="1" w:styleId="ListNumber1">
    <w:name w:val="List Number1"/>
    <w:basedOn w:val="Normal"/>
    <w:rsid w:val="004A21FA"/>
    <w:pPr>
      <w:numPr>
        <w:numId w:val="1"/>
      </w:numPr>
      <w:spacing w:before="100" w:after="0" w:line="300" w:lineRule="atLeast"/>
    </w:pPr>
    <w:rPr>
      <w:szCs w:val="24"/>
    </w:rPr>
  </w:style>
  <w:style w:type="paragraph" w:customStyle="1" w:styleId="Feedbacksubsubquestion">
    <w:name w:val="Feedback subsubquestion"/>
    <w:basedOn w:val="Feedbacksubquestion"/>
    <w:qFormat/>
    <w:rsid w:val="004A21FA"/>
    <w:pPr>
      <w:numPr>
        <w:ilvl w:val="6"/>
      </w:numPr>
    </w:pPr>
  </w:style>
  <w:style w:type="paragraph" w:customStyle="1" w:styleId="sourcenoteindented">
    <w:name w:val="source note indented"/>
    <w:basedOn w:val="sourcenotefullwidth"/>
    <w:qFormat/>
    <w:rsid w:val="004A21FA"/>
    <w:pPr>
      <w:ind w:left="2268"/>
    </w:pPr>
  </w:style>
  <w:style w:type="paragraph" w:customStyle="1" w:styleId="tblProposalsubpara">
    <w:name w:val="tbl Proposal sub para"/>
    <w:basedOn w:val="tbltext"/>
    <w:qFormat/>
    <w:rsid w:val="004A21FA"/>
    <w:pPr>
      <w:ind w:left="885" w:hanging="425"/>
    </w:pPr>
  </w:style>
  <w:style w:type="paragraph" w:customStyle="1" w:styleId="tblProposalsubsubpara">
    <w:name w:val="tbl Proposal sub sub para"/>
    <w:basedOn w:val="tbltext"/>
    <w:qFormat/>
    <w:rsid w:val="004A21FA"/>
    <w:pPr>
      <w:ind w:left="1310" w:hanging="425"/>
    </w:pPr>
  </w:style>
  <w:style w:type="paragraph" w:customStyle="1" w:styleId="tblProposaltext">
    <w:name w:val="tbl Proposal text"/>
    <w:basedOn w:val="tbltext"/>
    <w:qFormat/>
    <w:rsid w:val="004A21FA"/>
    <w:pPr>
      <w:ind w:left="425" w:hanging="425"/>
    </w:pPr>
  </w:style>
  <w:style w:type="paragraph" w:customStyle="1" w:styleId="tblProposaltextnonumber">
    <w:name w:val="tbl Proposal text no number"/>
    <w:basedOn w:val="tbltext"/>
    <w:qFormat/>
    <w:rsid w:val="004A21FA"/>
    <w:pPr>
      <w:ind w:left="425"/>
    </w:pPr>
  </w:style>
  <w:style w:type="paragraph" w:customStyle="1" w:styleId="tblFeedbackquestion">
    <w:name w:val="tbl Feedback question"/>
    <w:basedOn w:val="Proposaltext"/>
    <w:qFormat/>
    <w:rsid w:val="004A21F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4A21FA"/>
    <w:rPr>
      <w:sz w:val="16"/>
      <w:szCs w:val="16"/>
    </w:rPr>
  </w:style>
  <w:style w:type="paragraph" w:customStyle="1" w:styleId="tblFeedbacksubquestion">
    <w:name w:val="tbl Feedback subquestion"/>
    <w:basedOn w:val="tblProposalsubpara"/>
    <w:rsid w:val="004A21FA"/>
    <w:pPr>
      <w:ind w:left="964" w:hanging="340"/>
    </w:pPr>
  </w:style>
  <w:style w:type="paragraph" w:customStyle="1" w:styleId="tblFeedbacksubsubquestion">
    <w:name w:val="tbl Feedback subsubquestion"/>
    <w:basedOn w:val="tblProposalsubsubpara"/>
    <w:qFormat/>
    <w:rsid w:val="004A21FA"/>
    <w:pPr>
      <w:ind w:left="1304" w:hanging="340"/>
    </w:pPr>
  </w:style>
  <w:style w:type="paragraph" w:customStyle="1" w:styleId="ProFormaH2">
    <w:name w:val="Pro Forma H2"/>
    <w:basedOn w:val="Heading4"/>
    <w:link w:val="ProFormaH2Char"/>
    <w:qFormat/>
    <w:rsid w:val="008116C4"/>
    <w:pPr>
      <w:spacing w:before="360"/>
      <w:outlineLvl w:val="1"/>
    </w:pPr>
    <w:rPr>
      <w:b w:val="0"/>
      <w:sz w:val="24"/>
    </w:r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2Char">
    <w:name w:val="Pro Forma H2 Char"/>
    <w:basedOn w:val="Heading4Char"/>
    <w:link w:val="ProFormaH2"/>
    <w:rsid w:val="008116C4"/>
    <w:rPr>
      <w:rFonts w:ascii="Arial" w:hAnsi="Arial" w:cs="Arial"/>
      <w:b w:val="0"/>
      <w:sz w:val="24"/>
      <w:szCs w:val="22"/>
    </w:rPr>
  </w:style>
  <w:style w:type="paragraph" w:customStyle="1" w:styleId="ProFormaH1">
    <w:name w:val="Pro Forma H1"/>
    <w:link w:val="ProFormaH1Char"/>
    <w:qFormat/>
    <w:rsid w:val="00E613AE"/>
    <w:pPr>
      <w:numPr>
        <w:numId w:val="26"/>
      </w:numPr>
      <w:spacing w:before="400"/>
      <w:outlineLvl w:val="0"/>
    </w:pPr>
    <w:rPr>
      <w:rFonts w:ascii="Arial" w:hAnsi="Arial" w:cs="Arial"/>
      <w:b/>
      <w:kern w:val="28"/>
      <w:sz w:val="24"/>
      <w:szCs w:val="24"/>
    </w:rPr>
  </w:style>
  <w:style w:type="paragraph" w:customStyle="1" w:styleId="ProFormapara">
    <w:name w:val="Pro Forma para"/>
    <w:basedOn w:val="Bodytextplain"/>
    <w:link w:val="ProFormaparaChar"/>
    <w:qFormat/>
    <w:rsid w:val="00770A6D"/>
    <w:pPr>
      <w:numPr>
        <w:ilvl w:val="1"/>
        <w:numId w:val="26"/>
      </w:numPr>
    </w:pPr>
  </w:style>
  <w:style w:type="character" w:customStyle="1" w:styleId="Heading1Char">
    <w:name w:val="Heading 1 Char"/>
    <w:basedOn w:val="DefaultParagraphFont"/>
    <w:link w:val="Heading1"/>
    <w:rsid w:val="00770A6D"/>
    <w:rPr>
      <w:rFonts w:ascii="Arial" w:hAnsi="Arial" w:cs="Arial"/>
      <w:b/>
      <w:kern w:val="28"/>
      <w:sz w:val="36"/>
      <w:szCs w:val="36"/>
    </w:rPr>
  </w:style>
  <w:style w:type="character" w:customStyle="1" w:styleId="ProFormaH1Char">
    <w:name w:val="Pro Forma H1 Char"/>
    <w:basedOn w:val="Heading1Char"/>
    <w:link w:val="ProFormaH1"/>
    <w:rsid w:val="00E613AE"/>
    <w:rPr>
      <w:rFonts w:ascii="Arial" w:hAnsi="Arial" w:cs="Arial"/>
      <w:b/>
      <w:kern w:val="28"/>
      <w:sz w:val="24"/>
      <w:szCs w:val="24"/>
    </w:rPr>
  </w:style>
  <w:style w:type="character" w:customStyle="1" w:styleId="BodytextplainChar">
    <w:name w:val="Body text plain Char"/>
    <w:basedOn w:val="BodyTextChar"/>
    <w:link w:val="Bodytextplain"/>
    <w:rsid w:val="00770A6D"/>
    <w:rPr>
      <w:sz w:val="22"/>
      <w:szCs w:val="22"/>
    </w:rPr>
  </w:style>
  <w:style w:type="character" w:customStyle="1" w:styleId="ProFormaparaChar">
    <w:name w:val="Pro Forma para Char"/>
    <w:basedOn w:val="BodytextplainChar"/>
    <w:link w:val="ProFormapara"/>
    <w:rsid w:val="00770A6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FA"/>
    <w:pPr>
      <w:spacing w:after="240"/>
    </w:pPr>
    <w:rPr>
      <w:sz w:val="22"/>
    </w:rPr>
  </w:style>
  <w:style w:type="paragraph" w:styleId="Heading1">
    <w:name w:val="heading 1"/>
    <w:basedOn w:val="Normal"/>
    <w:next w:val="BodyText"/>
    <w:link w:val="Heading1Char"/>
    <w:qFormat/>
    <w:rsid w:val="004A21F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4A21F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4A21F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4A21F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4A21F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4A21F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4A21F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4A21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1FA"/>
  </w:style>
  <w:style w:type="paragraph" w:styleId="BodyText">
    <w:name w:val="Body Text"/>
    <w:basedOn w:val="Normal"/>
    <w:link w:val="BodyTextChar"/>
    <w:semiHidden/>
    <w:rsid w:val="004A21F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4A21FA"/>
    <w:pPr>
      <w:ind w:left="425"/>
    </w:pPr>
  </w:style>
  <w:style w:type="paragraph" w:styleId="Footer">
    <w:name w:val="footer"/>
    <w:basedOn w:val="Normal"/>
    <w:semiHidden/>
    <w:rsid w:val="004A21FA"/>
    <w:pPr>
      <w:tabs>
        <w:tab w:val="right" w:pos="9070"/>
      </w:tabs>
      <w:spacing w:after="0"/>
    </w:pPr>
    <w:rPr>
      <w:rFonts w:ascii="Arial" w:hAnsi="Arial"/>
      <w:sz w:val="16"/>
      <w:szCs w:val="16"/>
    </w:rPr>
  </w:style>
  <w:style w:type="character" w:styleId="PageNumber">
    <w:name w:val="page number"/>
    <w:basedOn w:val="DefaultParagraphFont"/>
    <w:rsid w:val="004A21FA"/>
    <w:rPr>
      <w:b/>
      <w:sz w:val="20"/>
    </w:rPr>
  </w:style>
  <w:style w:type="paragraph" w:styleId="Header">
    <w:name w:val="header"/>
    <w:basedOn w:val="Normal"/>
    <w:semiHidden/>
    <w:rsid w:val="004A21F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4A21F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4A21FA"/>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4A21FA"/>
    <w:pPr>
      <w:ind w:left="3260"/>
    </w:pPr>
  </w:style>
  <w:style w:type="paragraph" w:customStyle="1" w:styleId="figuretitlefullwidth">
    <w:name w:val="figure title full width"/>
    <w:basedOn w:val="tabletitlefullwidth"/>
    <w:next w:val="figuretext"/>
    <w:rsid w:val="004A21FA"/>
    <w:rPr>
      <w:szCs w:val="22"/>
    </w:rPr>
  </w:style>
  <w:style w:type="paragraph" w:customStyle="1" w:styleId="tabletitlefullwidth">
    <w:name w:val="table title full width"/>
    <w:basedOn w:val="Normal"/>
    <w:rsid w:val="004A21F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4A21FA"/>
    <w:pPr>
      <w:widowControl w:val="0"/>
      <w:spacing w:after="0" w:line="240" w:lineRule="atLeast"/>
    </w:pPr>
    <w:rPr>
      <w:rFonts w:ascii="Arial" w:hAnsi="Arial" w:cs="Arial"/>
      <w:sz w:val="18"/>
      <w:szCs w:val="18"/>
    </w:rPr>
  </w:style>
  <w:style w:type="paragraph" w:customStyle="1" w:styleId="tbltext">
    <w:name w:val="tbl text"/>
    <w:basedOn w:val="Bodytextplain"/>
    <w:rsid w:val="004A21FA"/>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rsid w:val="004A21FA"/>
    <w:pPr>
      <w:numPr>
        <w:numId w:val="0"/>
      </w:numPr>
      <w:ind w:left="2268"/>
    </w:pPr>
  </w:style>
  <w:style w:type="paragraph" w:customStyle="1" w:styleId="tablehead">
    <w:name w:val="table head"/>
    <w:basedOn w:val="Normal"/>
    <w:rsid w:val="004A21FA"/>
    <w:pPr>
      <w:keepNext/>
      <w:spacing w:before="120" w:after="0" w:line="240" w:lineRule="atLeast"/>
    </w:pPr>
    <w:rPr>
      <w:rFonts w:ascii="Arial" w:hAnsi="Arial" w:cs="Arial"/>
      <w:b/>
      <w:sz w:val="18"/>
      <w:szCs w:val="18"/>
    </w:rPr>
  </w:style>
  <w:style w:type="paragraph" w:styleId="ListBullet2">
    <w:name w:val="List Bullet 2"/>
    <w:basedOn w:val="Normal"/>
    <w:rsid w:val="004A21F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4A21FA"/>
    <w:rPr>
      <w:color w:val="0000FF"/>
      <w:u w:val="single"/>
    </w:rPr>
  </w:style>
  <w:style w:type="paragraph" w:customStyle="1" w:styleId="tablebullet">
    <w:name w:val="table bullet"/>
    <w:basedOn w:val="Normal"/>
    <w:rsid w:val="004A21F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4A21FA"/>
    <w:pPr>
      <w:spacing w:after="0"/>
    </w:pPr>
    <w:rPr>
      <w:sz w:val="18"/>
    </w:rPr>
  </w:style>
  <w:style w:type="character" w:styleId="FootnoteReference">
    <w:name w:val="footnote reference"/>
    <w:basedOn w:val="DefaultParagraphFont"/>
    <w:semiHidden/>
    <w:rsid w:val="004A21FA"/>
    <w:rPr>
      <w:vertAlign w:val="superscript"/>
    </w:rPr>
  </w:style>
  <w:style w:type="paragraph" w:styleId="TOC1">
    <w:name w:val="toc 1"/>
    <w:basedOn w:val="Normal"/>
    <w:next w:val="Normal"/>
    <w:autoRedefine/>
    <w:semiHidden/>
    <w:rsid w:val="004A21F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4A21F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4A21F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4A21F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style>
  <w:style w:type="paragraph" w:customStyle="1" w:styleId="tabletitleindented">
    <w:name w:val="table title indented"/>
    <w:basedOn w:val="tabletitlefullwidth"/>
    <w:rsid w:val="004A21FA"/>
    <w:pPr>
      <w:ind w:left="3260"/>
    </w:pPr>
  </w:style>
  <w:style w:type="paragraph" w:styleId="Caption">
    <w:name w:val="caption"/>
    <w:basedOn w:val="Normal"/>
    <w:next w:val="Normal"/>
    <w:qFormat/>
    <w:rsid w:val="004A21FA"/>
    <w:pPr>
      <w:spacing w:before="120" w:after="120"/>
    </w:pPr>
    <w:rPr>
      <w:b/>
      <w:bCs/>
      <w:sz w:val="20"/>
    </w:rPr>
  </w:style>
  <w:style w:type="paragraph" w:customStyle="1" w:styleId="tabledash">
    <w:name w:val="table dash"/>
    <w:basedOn w:val="tablebullet"/>
    <w:rsid w:val="004A21FA"/>
    <w:pPr>
      <w:numPr>
        <w:numId w:val="4"/>
      </w:numPr>
    </w:pPr>
  </w:style>
  <w:style w:type="paragraph" w:customStyle="1" w:styleId="Tablebody">
    <w:name w:val="Table body"/>
    <w:basedOn w:val="Normal"/>
    <w:semiHidden/>
    <w:rsid w:val="004A21F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4A21F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4A21F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4A21F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4A21FA"/>
    <w:pPr>
      <w:numPr>
        <w:numId w:val="5"/>
      </w:numPr>
      <w:tabs>
        <w:tab w:val="clear" w:pos="2807"/>
        <w:tab w:val="left" w:pos="2665"/>
      </w:tabs>
      <w:spacing w:before="100"/>
      <w:ind w:left="2665" w:hanging="284"/>
    </w:pPr>
  </w:style>
  <w:style w:type="paragraph" w:customStyle="1" w:styleId="Note">
    <w:name w:val="Note"/>
    <w:basedOn w:val="BodyText"/>
    <w:next w:val="BodyText"/>
    <w:rsid w:val="004A21FA"/>
    <w:pPr>
      <w:numPr>
        <w:numId w:val="0"/>
      </w:numPr>
      <w:spacing w:line="240" w:lineRule="atLeast"/>
      <w:ind w:left="2693"/>
    </w:pPr>
    <w:rPr>
      <w:sz w:val="18"/>
    </w:rPr>
  </w:style>
  <w:style w:type="paragraph" w:customStyle="1" w:styleId="subparaa">
    <w:name w:val="sub para (a)"/>
    <w:basedOn w:val="BodyText"/>
    <w:rsid w:val="004A21F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4A21F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4A21F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4A21F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4A21FA"/>
    <w:pPr>
      <w:numPr>
        <w:ilvl w:val="2"/>
      </w:numPr>
    </w:pPr>
  </w:style>
  <w:style w:type="paragraph" w:customStyle="1" w:styleId="DescriptorRG">
    <w:name w:val="Descriptor RG"/>
    <w:basedOn w:val="Normal"/>
    <w:next w:val="Normal"/>
    <w:rsid w:val="004A21F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4A21F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4A21FA"/>
    <w:pPr>
      <w:spacing w:line="260" w:lineRule="atLeast"/>
    </w:pPr>
    <w:rPr>
      <w:rFonts w:ascii="Arial" w:hAnsi="Arial" w:cs="Arial"/>
      <w:sz w:val="20"/>
      <w:szCs w:val="20"/>
    </w:rPr>
  </w:style>
  <w:style w:type="paragraph" w:customStyle="1" w:styleId="Frontbullet">
    <w:name w:val="Front bullet"/>
    <w:basedOn w:val="Fronttext"/>
    <w:rsid w:val="004A21FA"/>
    <w:pPr>
      <w:numPr>
        <w:ilvl w:val="5"/>
        <w:numId w:val="8"/>
      </w:numPr>
      <w:spacing w:before="120"/>
    </w:pPr>
  </w:style>
  <w:style w:type="paragraph" w:customStyle="1" w:styleId="Frontheading">
    <w:name w:val="Front heading"/>
    <w:basedOn w:val="Heading3"/>
    <w:next w:val="Fronttext"/>
    <w:rsid w:val="004A21FA"/>
  </w:style>
  <w:style w:type="paragraph" w:customStyle="1" w:styleId="Blockquote">
    <w:name w:val="Block quote"/>
    <w:basedOn w:val="Bodytextplain"/>
    <w:rsid w:val="004A21F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4A21F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4A21F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4A21FA"/>
    <w:pPr>
      <w:numPr>
        <w:ilvl w:val="2"/>
      </w:numPr>
      <w:spacing w:before="100"/>
    </w:pPr>
  </w:style>
  <w:style w:type="paragraph" w:customStyle="1" w:styleId="Proposalsubsubpara">
    <w:name w:val="Proposal sub sub para"/>
    <w:basedOn w:val="Proposaltext"/>
    <w:rsid w:val="004A21FA"/>
    <w:pPr>
      <w:numPr>
        <w:ilvl w:val="3"/>
      </w:numPr>
      <w:spacing w:before="100"/>
    </w:pPr>
  </w:style>
  <w:style w:type="paragraph" w:customStyle="1" w:styleId="Proposalnote">
    <w:name w:val="Proposal note"/>
    <w:basedOn w:val="Note"/>
    <w:rsid w:val="004A21FA"/>
    <w:pPr>
      <w:spacing w:before="100"/>
      <w:ind w:left="3119"/>
    </w:pPr>
    <w:rPr>
      <w:rFonts w:ascii="Arial" w:hAnsi="Arial" w:cs="Arial"/>
      <w:sz w:val="16"/>
      <w:szCs w:val="16"/>
    </w:rPr>
  </w:style>
  <w:style w:type="character" w:styleId="CommentReference">
    <w:name w:val="annotation reference"/>
    <w:basedOn w:val="DefaultParagraphFont"/>
    <w:semiHidden/>
    <w:rsid w:val="004A21FA"/>
    <w:rPr>
      <w:sz w:val="16"/>
      <w:szCs w:val="16"/>
    </w:rPr>
  </w:style>
  <w:style w:type="paragraph" w:styleId="CommentText">
    <w:name w:val="annotation text"/>
    <w:basedOn w:val="Normal"/>
    <w:link w:val="CommentTextChar"/>
    <w:semiHidden/>
    <w:rsid w:val="004A21F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4A21FA"/>
    <w:rPr>
      <w:rFonts w:ascii="Tahoma" w:hAnsi="Tahoma" w:cs="Tahoma"/>
      <w:sz w:val="16"/>
      <w:szCs w:val="16"/>
    </w:rPr>
  </w:style>
  <w:style w:type="paragraph" w:customStyle="1" w:styleId="boxbullet">
    <w:name w:val="box bullet"/>
    <w:basedOn w:val="Frontbullet"/>
    <w:rsid w:val="004A21FA"/>
    <w:pPr>
      <w:numPr>
        <w:ilvl w:val="0"/>
        <w:numId w:val="10"/>
      </w:numPr>
      <w:spacing w:before="60"/>
    </w:pPr>
  </w:style>
  <w:style w:type="paragraph" w:customStyle="1" w:styleId="boxtext">
    <w:name w:val="box text"/>
    <w:basedOn w:val="Fronttext"/>
    <w:rsid w:val="004A21FA"/>
    <w:pPr>
      <w:spacing w:before="120"/>
      <w:ind w:left="0"/>
    </w:pPr>
  </w:style>
  <w:style w:type="paragraph" w:customStyle="1" w:styleId="sub3paraA">
    <w:name w:val="sub3para (A)"/>
    <w:basedOn w:val="subsubparai"/>
    <w:qFormat/>
    <w:rsid w:val="004A21F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4A21F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4A21FA"/>
    <w:pPr>
      <w:spacing w:before="120"/>
    </w:pPr>
    <w:rPr>
      <w:rFonts w:ascii="Arial" w:hAnsi="Arial"/>
      <w:sz w:val="16"/>
      <w:szCs w:val="22"/>
    </w:rPr>
  </w:style>
  <w:style w:type="paragraph" w:customStyle="1" w:styleId="ListNumber1">
    <w:name w:val="List Number1"/>
    <w:basedOn w:val="Normal"/>
    <w:rsid w:val="004A21FA"/>
    <w:pPr>
      <w:numPr>
        <w:numId w:val="1"/>
      </w:numPr>
      <w:spacing w:before="100" w:after="0" w:line="300" w:lineRule="atLeast"/>
    </w:pPr>
    <w:rPr>
      <w:szCs w:val="24"/>
    </w:rPr>
  </w:style>
  <w:style w:type="paragraph" w:customStyle="1" w:styleId="Feedbacksubsubquestion">
    <w:name w:val="Feedback subsubquestion"/>
    <w:basedOn w:val="Feedbacksubquestion"/>
    <w:qFormat/>
    <w:rsid w:val="004A21FA"/>
    <w:pPr>
      <w:numPr>
        <w:ilvl w:val="6"/>
      </w:numPr>
    </w:pPr>
  </w:style>
  <w:style w:type="paragraph" w:customStyle="1" w:styleId="sourcenoteindented">
    <w:name w:val="source note indented"/>
    <w:basedOn w:val="sourcenotefullwidth"/>
    <w:qFormat/>
    <w:rsid w:val="004A21FA"/>
    <w:pPr>
      <w:ind w:left="2268"/>
    </w:pPr>
  </w:style>
  <w:style w:type="paragraph" w:customStyle="1" w:styleId="tblProposalsubpara">
    <w:name w:val="tbl Proposal sub para"/>
    <w:basedOn w:val="tbltext"/>
    <w:qFormat/>
    <w:rsid w:val="004A21FA"/>
    <w:pPr>
      <w:ind w:left="885" w:hanging="425"/>
    </w:pPr>
  </w:style>
  <w:style w:type="paragraph" w:customStyle="1" w:styleId="tblProposalsubsubpara">
    <w:name w:val="tbl Proposal sub sub para"/>
    <w:basedOn w:val="tbltext"/>
    <w:qFormat/>
    <w:rsid w:val="004A21FA"/>
    <w:pPr>
      <w:ind w:left="1310" w:hanging="425"/>
    </w:pPr>
  </w:style>
  <w:style w:type="paragraph" w:customStyle="1" w:styleId="tblProposaltext">
    <w:name w:val="tbl Proposal text"/>
    <w:basedOn w:val="tbltext"/>
    <w:qFormat/>
    <w:rsid w:val="004A21FA"/>
    <w:pPr>
      <w:ind w:left="425" w:hanging="425"/>
    </w:pPr>
  </w:style>
  <w:style w:type="paragraph" w:customStyle="1" w:styleId="tblProposaltextnonumber">
    <w:name w:val="tbl Proposal text no number"/>
    <w:basedOn w:val="tbltext"/>
    <w:qFormat/>
    <w:rsid w:val="004A21FA"/>
    <w:pPr>
      <w:ind w:left="425"/>
    </w:pPr>
  </w:style>
  <w:style w:type="paragraph" w:customStyle="1" w:styleId="tblFeedbackquestion">
    <w:name w:val="tbl Feedback question"/>
    <w:basedOn w:val="Proposaltext"/>
    <w:qFormat/>
    <w:rsid w:val="004A21F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4A21FA"/>
    <w:rPr>
      <w:sz w:val="16"/>
      <w:szCs w:val="16"/>
    </w:rPr>
  </w:style>
  <w:style w:type="paragraph" w:customStyle="1" w:styleId="tblFeedbacksubquestion">
    <w:name w:val="tbl Feedback subquestion"/>
    <w:basedOn w:val="tblProposalsubpara"/>
    <w:rsid w:val="004A21FA"/>
    <w:pPr>
      <w:ind w:left="964" w:hanging="340"/>
    </w:pPr>
  </w:style>
  <w:style w:type="paragraph" w:customStyle="1" w:styleId="tblFeedbacksubsubquestion">
    <w:name w:val="tbl Feedback subsubquestion"/>
    <w:basedOn w:val="tblProposalsubsubpara"/>
    <w:qFormat/>
    <w:rsid w:val="004A21FA"/>
    <w:pPr>
      <w:ind w:left="1304" w:hanging="340"/>
    </w:pPr>
  </w:style>
  <w:style w:type="paragraph" w:customStyle="1" w:styleId="ProFormaH2">
    <w:name w:val="Pro Forma H2"/>
    <w:basedOn w:val="Heading4"/>
    <w:link w:val="ProFormaH2Char"/>
    <w:qFormat/>
    <w:rsid w:val="008116C4"/>
    <w:pPr>
      <w:spacing w:before="360"/>
      <w:outlineLvl w:val="1"/>
    </w:pPr>
    <w:rPr>
      <w:b w:val="0"/>
      <w:sz w:val="24"/>
    </w:r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2Char">
    <w:name w:val="Pro Forma H2 Char"/>
    <w:basedOn w:val="Heading4Char"/>
    <w:link w:val="ProFormaH2"/>
    <w:rsid w:val="008116C4"/>
    <w:rPr>
      <w:rFonts w:ascii="Arial" w:hAnsi="Arial" w:cs="Arial"/>
      <w:b w:val="0"/>
      <w:sz w:val="24"/>
      <w:szCs w:val="22"/>
    </w:rPr>
  </w:style>
  <w:style w:type="paragraph" w:customStyle="1" w:styleId="ProFormaH1">
    <w:name w:val="Pro Forma H1"/>
    <w:link w:val="ProFormaH1Char"/>
    <w:qFormat/>
    <w:rsid w:val="00E613AE"/>
    <w:pPr>
      <w:numPr>
        <w:numId w:val="26"/>
      </w:numPr>
      <w:spacing w:before="400"/>
      <w:outlineLvl w:val="0"/>
    </w:pPr>
    <w:rPr>
      <w:rFonts w:ascii="Arial" w:hAnsi="Arial" w:cs="Arial"/>
      <w:b/>
      <w:kern w:val="28"/>
      <w:sz w:val="24"/>
      <w:szCs w:val="24"/>
    </w:rPr>
  </w:style>
  <w:style w:type="paragraph" w:customStyle="1" w:styleId="ProFormapara">
    <w:name w:val="Pro Forma para"/>
    <w:basedOn w:val="Bodytextplain"/>
    <w:link w:val="ProFormaparaChar"/>
    <w:qFormat/>
    <w:rsid w:val="00770A6D"/>
    <w:pPr>
      <w:numPr>
        <w:ilvl w:val="1"/>
        <w:numId w:val="26"/>
      </w:numPr>
    </w:pPr>
  </w:style>
  <w:style w:type="character" w:customStyle="1" w:styleId="Heading1Char">
    <w:name w:val="Heading 1 Char"/>
    <w:basedOn w:val="DefaultParagraphFont"/>
    <w:link w:val="Heading1"/>
    <w:rsid w:val="00770A6D"/>
    <w:rPr>
      <w:rFonts w:ascii="Arial" w:hAnsi="Arial" w:cs="Arial"/>
      <w:b/>
      <w:kern w:val="28"/>
      <w:sz w:val="36"/>
      <w:szCs w:val="36"/>
    </w:rPr>
  </w:style>
  <w:style w:type="character" w:customStyle="1" w:styleId="ProFormaH1Char">
    <w:name w:val="Pro Forma H1 Char"/>
    <w:basedOn w:val="Heading1Char"/>
    <w:link w:val="ProFormaH1"/>
    <w:rsid w:val="00E613AE"/>
    <w:rPr>
      <w:rFonts w:ascii="Arial" w:hAnsi="Arial" w:cs="Arial"/>
      <w:b/>
      <w:kern w:val="28"/>
      <w:sz w:val="24"/>
      <w:szCs w:val="24"/>
    </w:rPr>
  </w:style>
  <w:style w:type="character" w:customStyle="1" w:styleId="BodytextplainChar">
    <w:name w:val="Body text plain Char"/>
    <w:basedOn w:val="BodyTextChar"/>
    <w:link w:val="Bodytextplain"/>
    <w:rsid w:val="00770A6D"/>
    <w:rPr>
      <w:sz w:val="22"/>
      <w:szCs w:val="22"/>
    </w:rPr>
  </w:style>
  <w:style w:type="character" w:customStyle="1" w:styleId="ProFormaparaChar">
    <w:name w:val="Pro Forma para Char"/>
    <w:basedOn w:val="BodytextplainChar"/>
    <w:link w:val="ProFormapara"/>
    <w:rsid w:val="00770A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C3A9-B2A8-456B-BCCD-BC9B933D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0</TotalTime>
  <Pages>5</Pages>
  <Words>1070</Words>
  <Characters>5571</Characters>
  <Application>Microsoft Office Word</Application>
  <DocSecurity>0</DocSecurity>
  <Lines>150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2016-07-04T03:52:00Z</dcterms:created>
  <dcterms:modified xsi:type="dcterms:W3CDTF">2016-07-04T04:19:00Z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Authorised audit company registration conditions</vt:lpwstr>
  </property>
  <property fmtid="{D5CDD505-2E9C-101B-9397-08002B2CF9AE}" pid="3" name="Document num">
    <vt:lpwstr>216</vt:lpwstr>
  </property>
  <property fmtid="{D5CDD505-2E9C-101B-9397-08002B2CF9AE}" pid="4" name="Issue date">
    <vt:lpwstr>June 2016</vt:lpwstr>
  </property>
</Properties>
</file>